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黑体" w:hAnsi="黑体" w:eastAsia="黑体" w:cs="黑体"/>
          <w:b/>
          <w:color w:val="000000"/>
          <w:sz w:val="44"/>
          <w:lang w:eastAsia="zh-CN"/>
        </w:rPr>
      </w:pPr>
    </w:p>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509衡水市园林中心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6956.65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2620.00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8475.93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9576.65</w:t>
            </w:r>
          </w:p>
        </w:tc>
        <w:tc>
          <w:tcPr>
            <w:tcW w:w="4535" w:type="dxa"/>
            <w:vAlign w:val="center"/>
          </w:tcPr>
          <w:p>
            <w:pPr>
              <w:pStyle w:val="14"/>
            </w:pPr>
            <w:r>
              <w:t>本年支出合计</w:t>
            </w:r>
          </w:p>
        </w:tc>
        <w:tc>
          <w:tcPr>
            <w:tcW w:w="2126" w:type="dxa"/>
            <w:vAlign w:val="center"/>
          </w:tcPr>
          <w:p>
            <w:pPr>
              <w:pStyle w:val="15"/>
            </w:pPr>
            <w:r>
              <w:t>9580.62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r>
              <w:t>3.97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9580.62</w:t>
            </w:r>
          </w:p>
        </w:tc>
        <w:tc>
          <w:tcPr>
            <w:tcW w:w="4535" w:type="dxa"/>
            <w:vAlign w:val="center"/>
          </w:tcPr>
          <w:p>
            <w:pPr>
              <w:pStyle w:val="14"/>
            </w:pPr>
            <w:r>
              <w:t>支出总计</w:t>
            </w:r>
          </w:p>
        </w:tc>
        <w:tc>
          <w:tcPr>
            <w:tcW w:w="2126" w:type="dxa"/>
            <w:vAlign w:val="center"/>
          </w:tcPr>
          <w:p>
            <w:pPr>
              <w:pStyle w:val="15"/>
            </w:pPr>
            <w:r>
              <w:t>9580.62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509衡水市园林中心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9580.62</w:t>
            </w:r>
          </w:p>
        </w:tc>
        <w:tc>
          <w:tcPr>
            <w:tcW w:w="1134" w:type="dxa"/>
            <w:vAlign w:val="center"/>
          </w:tcPr>
          <w:p>
            <w:pPr>
              <w:pStyle w:val="15"/>
            </w:pPr>
            <w:r>
              <w:t>9576.65</w:t>
            </w:r>
          </w:p>
        </w:tc>
        <w:tc>
          <w:tcPr>
            <w:tcW w:w="1134" w:type="dxa"/>
            <w:vAlign w:val="center"/>
          </w:tcPr>
          <w:p>
            <w:pPr>
              <w:pStyle w:val="15"/>
            </w:pPr>
            <w:r>
              <w:t>9576.65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718.50</w:t>
            </w:r>
          </w:p>
        </w:tc>
        <w:tc>
          <w:tcPr>
            <w:tcW w:w="1134" w:type="dxa"/>
            <w:vAlign w:val="center"/>
          </w:tcPr>
          <w:p>
            <w:pPr>
              <w:pStyle w:val="11"/>
            </w:pPr>
            <w:r>
              <w:t>718.50</w:t>
            </w:r>
          </w:p>
        </w:tc>
        <w:tc>
          <w:tcPr>
            <w:tcW w:w="1134" w:type="dxa"/>
            <w:vAlign w:val="center"/>
          </w:tcPr>
          <w:p>
            <w:pPr>
              <w:pStyle w:val="11"/>
            </w:pPr>
            <w:r>
              <w:t>718.50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715.09</w:t>
            </w:r>
          </w:p>
        </w:tc>
        <w:tc>
          <w:tcPr>
            <w:tcW w:w="1134" w:type="dxa"/>
            <w:vAlign w:val="center"/>
          </w:tcPr>
          <w:p>
            <w:pPr>
              <w:pStyle w:val="11"/>
            </w:pPr>
            <w:r>
              <w:t>715.09</w:t>
            </w:r>
          </w:p>
        </w:tc>
        <w:tc>
          <w:tcPr>
            <w:tcW w:w="1134" w:type="dxa"/>
            <w:vAlign w:val="center"/>
          </w:tcPr>
          <w:p>
            <w:pPr>
              <w:pStyle w:val="11"/>
            </w:pPr>
            <w:r>
              <w:t>715.09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398.92</w:t>
            </w:r>
          </w:p>
        </w:tc>
        <w:tc>
          <w:tcPr>
            <w:tcW w:w="1134" w:type="dxa"/>
            <w:vAlign w:val="center"/>
          </w:tcPr>
          <w:p>
            <w:pPr>
              <w:pStyle w:val="11"/>
            </w:pPr>
            <w:r>
              <w:t>398.92</w:t>
            </w:r>
          </w:p>
        </w:tc>
        <w:tc>
          <w:tcPr>
            <w:tcW w:w="1134" w:type="dxa"/>
            <w:vAlign w:val="center"/>
          </w:tcPr>
          <w:p>
            <w:pPr>
              <w:pStyle w:val="11"/>
            </w:pPr>
            <w:r>
              <w:t>398.92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316.17</w:t>
            </w:r>
          </w:p>
        </w:tc>
        <w:tc>
          <w:tcPr>
            <w:tcW w:w="1134" w:type="dxa"/>
            <w:vAlign w:val="center"/>
          </w:tcPr>
          <w:p>
            <w:pPr>
              <w:pStyle w:val="11"/>
            </w:pPr>
            <w:r>
              <w:t>316.17</w:t>
            </w:r>
          </w:p>
        </w:tc>
        <w:tc>
          <w:tcPr>
            <w:tcW w:w="1134" w:type="dxa"/>
            <w:vAlign w:val="center"/>
          </w:tcPr>
          <w:p>
            <w:pPr>
              <w:pStyle w:val="11"/>
            </w:pPr>
            <w:r>
              <w:t>316.17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80.75</w:t>
            </w:r>
          </w:p>
        </w:tc>
        <w:tc>
          <w:tcPr>
            <w:tcW w:w="1134" w:type="dxa"/>
            <w:vAlign w:val="center"/>
          </w:tcPr>
          <w:p>
            <w:pPr>
              <w:pStyle w:val="11"/>
            </w:pPr>
            <w:r>
              <w:t>80.75</w:t>
            </w:r>
          </w:p>
        </w:tc>
        <w:tc>
          <w:tcPr>
            <w:tcW w:w="1134" w:type="dxa"/>
            <w:vAlign w:val="center"/>
          </w:tcPr>
          <w:p>
            <w:pPr>
              <w:pStyle w:val="11"/>
            </w:pPr>
            <w:r>
              <w:t>80.75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114.07</w:t>
            </w:r>
          </w:p>
        </w:tc>
        <w:tc>
          <w:tcPr>
            <w:tcW w:w="1134" w:type="dxa"/>
            <w:vAlign w:val="center"/>
          </w:tcPr>
          <w:p>
            <w:pPr>
              <w:pStyle w:val="11"/>
            </w:pPr>
            <w:r>
              <w:t>114.07</w:t>
            </w:r>
          </w:p>
        </w:tc>
        <w:tc>
          <w:tcPr>
            <w:tcW w:w="1134" w:type="dxa"/>
            <w:vAlign w:val="center"/>
          </w:tcPr>
          <w:p>
            <w:pPr>
              <w:pStyle w:val="11"/>
            </w:pPr>
            <w:r>
              <w:t>114.07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8475.93</w:t>
            </w:r>
          </w:p>
        </w:tc>
        <w:tc>
          <w:tcPr>
            <w:tcW w:w="1134" w:type="dxa"/>
            <w:vAlign w:val="center"/>
          </w:tcPr>
          <w:p>
            <w:pPr>
              <w:pStyle w:val="11"/>
            </w:pPr>
            <w:r>
              <w:t>8475.93</w:t>
            </w:r>
          </w:p>
        </w:tc>
        <w:tc>
          <w:tcPr>
            <w:tcW w:w="1134" w:type="dxa"/>
            <w:vAlign w:val="center"/>
          </w:tcPr>
          <w:p>
            <w:pPr>
              <w:pStyle w:val="11"/>
            </w:pPr>
            <w:r>
              <w:t>8475.93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9580.62</w:t>
            </w:r>
          </w:p>
        </w:tc>
        <w:tc>
          <w:tcPr>
            <w:tcW w:w="1361" w:type="dxa"/>
            <w:vAlign w:val="center"/>
          </w:tcPr>
          <w:p>
            <w:pPr>
              <w:pStyle w:val="15"/>
            </w:pPr>
            <w:r>
              <w:t>3129.45</w:t>
            </w:r>
          </w:p>
        </w:tc>
        <w:tc>
          <w:tcPr>
            <w:tcW w:w="1361" w:type="dxa"/>
            <w:vAlign w:val="center"/>
          </w:tcPr>
          <w:p>
            <w:pPr>
              <w:pStyle w:val="15"/>
            </w:pPr>
            <w:r>
              <w:t>6451.17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6" w:type="dxa"/>
            <w:vAlign w:val="center"/>
          </w:tcPr>
          <w:p>
            <w:pPr>
              <w:pStyle w:val="12"/>
            </w:pPr>
            <w:r>
              <w:t>文化和旅游</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6" w:type="dxa"/>
            <w:vAlign w:val="center"/>
          </w:tcPr>
          <w:p>
            <w:pPr>
              <w:pStyle w:val="12"/>
            </w:pPr>
            <w:r>
              <w:t>其他文化和旅游支出</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718.50</w:t>
            </w:r>
          </w:p>
        </w:tc>
        <w:tc>
          <w:tcPr>
            <w:tcW w:w="1361" w:type="dxa"/>
            <w:vAlign w:val="center"/>
          </w:tcPr>
          <w:p>
            <w:pPr>
              <w:pStyle w:val="11"/>
            </w:pPr>
            <w:r>
              <w:t>718.50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715.09</w:t>
            </w:r>
          </w:p>
        </w:tc>
        <w:tc>
          <w:tcPr>
            <w:tcW w:w="1361" w:type="dxa"/>
            <w:vAlign w:val="center"/>
          </w:tcPr>
          <w:p>
            <w:pPr>
              <w:pStyle w:val="11"/>
            </w:pPr>
            <w:r>
              <w:t>715.09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398.92</w:t>
            </w:r>
          </w:p>
        </w:tc>
        <w:tc>
          <w:tcPr>
            <w:tcW w:w="1361" w:type="dxa"/>
            <w:vAlign w:val="center"/>
          </w:tcPr>
          <w:p>
            <w:pPr>
              <w:pStyle w:val="11"/>
            </w:pPr>
            <w:r>
              <w:t>398.92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316.17</w:t>
            </w:r>
          </w:p>
        </w:tc>
        <w:tc>
          <w:tcPr>
            <w:tcW w:w="1361" w:type="dxa"/>
            <w:vAlign w:val="center"/>
          </w:tcPr>
          <w:p>
            <w:pPr>
              <w:pStyle w:val="11"/>
            </w:pPr>
            <w:r>
              <w:t>316.17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6" w:type="dxa"/>
            <w:vAlign w:val="center"/>
          </w:tcPr>
          <w:p>
            <w:pPr>
              <w:pStyle w:val="12"/>
            </w:pPr>
            <w:r>
              <w:t>抚恤</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6" w:type="dxa"/>
            <w:vAlign w:val="center"/>
          </w:tcPr>
          <w:p>
            <w:pPr>
              <w:pStyle w:val="12"/>
            </w:pPr>
            <w:r>
              <w:t>死亡抚恤</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194.82</w:t>
            </w:r>
          </w:p>
        </w:tc>
        <w:tc>
          <w:tcPr>
            <w:tcW w:w="1361" w:type="dxa"/>
            <w:vAlign w:val="center"/>
          </w:tcPr>
          <w:p>
            <w:pPr>
              <w:pStyle w:val="11"/>
            </w:pPr>
            <w:r>
              <w:t>194.82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194.82</w:t>
            </w:r>
          </w:p>
        </w:tc>
        <w:tc>
          <w:tcPr>
            <w:tcW w:w="1361" w:type="dxa"/>
            <w:vAlign w:val="center"/>
          </w:tcPr>
          <w:p>
            <w:pPr>
              <w:pStyle w:val="11"/>
            </w:pPr>
            <w:r>
              <w:t>194.82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80.75</w:t>
            </w:r>
          </w:p>
        </w:tc>
        <w:tc>
          <w:tcPr>
            <w:tcW w:w="1361" w:type="dxa"/>
            <w:vAlign w:val="center"/>
          </w:tcPr>
          <w:p>
            <w:pPr>
              <w:pStyle w:val="11"/>
            </w:pPr>
            <w:r>
              <w:t>80.75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114.07</w:t>
            </w:r>
          </w:p>
        </w:tc>
        <w:tc>
          <w:tcPr>
            <w:tcW w:w="1361" w:type="dxa"/>
            <w:vAlign w:val="center"/>
          </w:tcPr>
          <w:p>
            <w:pPr>
              <w:pStyle w:val="11"/>
            </w:pPr>
            <w:r>
              <w:t>114.07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8475.93</w:t>
            </w:r>
          </w:p>
        </w:tc>
        <w:tc>
          <w:tcPr>
            <w:tcW w:w="1361" w:type="dxa"/>
            <w:vAlign w:val="center"/>
          </w:tcPr>
          <w:p>
            <w:pPr>
              <w:pStyle w:val="11"/>
            </w:pPr>
            <w:r>
              <w:t>2052.69</w:t>
            </w:r>
          </w:p>
        </w:tc>
        <w:tc>
          <w:tcPr>
            <w:tcW w:w="1361" w:type="dxa"/>
            <w:vAlign w:val="center"/>
          </w:tcPr>
          <w:p>
            <w:pPr>
              <w:pStyle w:val="11"/>
            </w:pPr>
            <w:r>
              <w:t>6423.24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5855.93</w:t>
            </w:r>
          </w:p>
        </w:tc>
        <w:tc>
          <w:tcPr>
            <w:tcW w:w="1361" w:type="dxa"/>
            <w:vAlign w:val="center"/>
          </w:tcPr>
          <w:p>
            <w:pPr>
              <w:pStyle w:val="11"/>
            </w:pPr>
            <w:r>
              <w:t>2052.69</w:t>
            </w:r>
          </w:p>
        </w:tc>
        <w:tc>
          <w:tcPr>
            <w:tcW w:w="1361" w:type="dxa"/>
            <w:vAlign w:val="center"/>
          </w:tcPr>
          <w:p>
            <w:pPr>
              <w:pStyle w:val="11"/>
            </w:pPr>
            <w:r>
              <w:t>3803.24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5855.93</w:t>
            </w:r>
          </w:p>
        </w:tc>
        <w:tc>
          <w:tcPr>
            <w:tcW w:w="1361" w:type="dxa"/>
            <w:vAlign w:val="center"/>
          </w:tcPr>
          <w:p>
            <w:pPr>
              <w:pStyle w:val="11"/>
            </w:pPr>
            <w:r>
              <w:t>2052.69</w:t>
            </w:r>
          </w:p>
        </w:tc>
        <w:tc>
          <w:tcPr>
            <w:tcW w:w="1361" w:type="dxa"/>
            <w:vAlign w:val="center"/>
          </w:tcPr>
          <w:p>
            <w:pPr>
              <w:pStyle w:val="11"/>
            </w:pPr>
            <w:r>
              <w:t>3803.24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2121302</w:t>
            </w:r>
          </w:p>
        </w:tc>
        <w:tc>
          <w:tcPr>
            <w:tcW w:w="4536" w:type="dxa"/>
            <w:vAlign w:val="center"/>
          </w:tcPr>
          <w:p>
            <w:pPr>
              <w:pStyle w:val="12"/>
            </w:pPr>
            <w:r>
              <w:t>城市环境卫生</w:t>
            </w: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6956.65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2620.00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7.97</w:t>
            </w:r>
          </w:p>
        </w:tc>
        <w:tc>
          <w:tcPr>
            <w:tcW w:w="1474" w:type="dxa"/>
            <w:vAlign w:val="center"/>
          </w:tcPr>
          <w:p>
            <w:pPr>
              <w:pStyle w:val="11"/>
            </w:pPr>
            <w:r>
              <w:t>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19.96</w:t>
            </w:r>
          </w:p>
        </w:tc>
        <w:tc>
          <w:tcPr>
            <w:tcW w:w="1474" w:type="dxa"/>
            <w:vAlign w:val="center"/>
          </w:tcPr>
          <w:p>
            <w:pPr>
              <w:pStyle w:val="11"/>
            </w:pPr>
            <w:r>
              <w:t>19.96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718.50</w:t>
            </w:r>
          </w:p>
        </w:tc>
        <w:tc>
          <w:tcPr>
            <w:tcW w:w="1474" w:type="dxa"/>
            <w:vAlign w:val="center"/>
          </w:tcPr>
          <w:p>
            <w:pPr>
              <w:pStyle w:val="11"/>
            </w:pPr>
            <w:r>
              <w:t>718.50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194.82</w:t>
            </w:r>
          </w:p>
        </w:tc>
        <w:tc>
          <w:tcPr>
            <w:tcW w:w="1474" w:type="dxa"/>
            <w:vAlign w:val="center"/>
          </w:tcPr>
          <w:p>
            <w:pPr>
              <w:pStyle w:val="11"/>
            </w:pPr>
            <w:r>
              <w:t>194.82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8475.93</w:t>
            </w:r>
          </w:p>
        </w:tc>
        <w:tc>
          <w:tcPr>
            <w:tcW w:w="1474" w:type="dxa"/>
            <w:vAlign w:val="center"/>
          </w:tcPr>
          <w:p>
            <w:pPr>
              <w:pStyle w:val="11"/>
            </w:pPr>
            <w:r>
              <w:t>5855.93</w:t>
            </w:r>
          </w:p>
        </w:tc>
        <w:tc>
          <w:tcPr>
            <w:tcW w:w="1474" w:type="dxa"/>
            <w:vAlign w:val="center"/>
          </w:tcPr>
          <w:p>
            <w:pPr>
              <w:pStyle w:val="11"/>
            </w:pPr>
            <w:r>
              <w:t>2620.00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163.44</w:t>
            </w:r>
          </w:p>
        </w:tc>
        <w:tc>
          <w:tcPr>
            <w:tcW w:w="1474" w:type="dxa"/>
            <w:vAlign w:val="center"/>
          </w:tcPr>
          <w:p>
            <w:pPr>
              <w:pStyle w:val="11"/>
            </w:pPr>
            <w:r>
              <w:t>163.44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9576.65</w:t>
            </w:r>
          </w:p>
        </w:tc>
        <w:tc>
          <w:tcPr>
            <w:tcW w:w="3402" w:type="dxa"/>
            <w:vAlign w:val="center"/>
          </w:tcPr>
          <w:p>
            <w:pPr>
              <w:pStyle w:val="14"/>
            </w:pPr>
            <w:r>
              <w:t>本年支出合计</w:t>
            </w:r>
          </w:p>
        </w:tc>
        <w:tc>
          <w:tcPr>
            <w:tcW w:w="1474" w:type="dxa"/>
            <w:vAlign w:val="center"/>
          </w:tcPr>
          <w:p>
            <w:pPr>
              <w:pStyle w:val="15"/>
            </w:pPr>
            <w:r>
              <w:t>9580.62</w:t>
            </w:r>
          </w:p>
        </w:tc>
        <w:tc>
          <w:tcPr>
            <w:tcW w:w="1474" w:type="dxa"/>
            <w:vAlign w:val="center"/>
          </w:tcPr>
          <w:p>
            <w:pPr>
              <w:pStyle w:val="15"/>
            </w:pPr>
            <w:r>
              <w:t>6960.62</w:t>
            </w:r>
          </w:p>
        </w:tc>
        <w:tc>
          <w:tcPr>
            <w:tcW w:w="1474" w:type="dxa"/>
            <w:vAlign w:val="center"/>
          </w:tcPr>
          <w:p>
            <w:pPr>
              <w:pStyle w:val="15"/>
            </w:pPr>
            <w:r>
              <w:t>2620.00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3.97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3.97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9580.62</w:t>
            </w:r>
          </w:p>
        </w:tc>
        <w:tc>
          <w:tcPr>
            <w:tcW w:w="3402" w:type="dxa"/>
            <w:vAlign w:val="center"/>
          </w:tcPr>
          <w:p>
            <w:pPr>
              <w:pStyle w:val="14"/>
            </w:pPr>
            <w:r>
              <w:t>支出总计</w:t>
            </w:r>
          </w:p>
        </w:tc>
        <w:tc>
          <w:tcPr>
            <w:tcW w:w="1474" w:type="dxa"/>
            <w:vAlign w:val="center"/>
          </w:tcPr>
          <w:p>
            <w:pPr>
              <w:pStyle w:val="15"/>
            </w:pPr>
            <w:r>
              <w:t>9580.62</w:t>
            </w:r>
          </w:p>
        </w:tc>
        <w:tc>
          <w:tcPr>
            <w:tcW w:w="1474" w:type="dxa"/>
            <w:vAlign w:val="center"/>
          </w:tcPr>
          <w:p>
            <w:pPr>
              <w:pStyle w:val="15"/>
            </w:pPr>
            <w:r>
              <w:t>6960.62</w:t>
            </w:r>
          </w:p>
        </w:tc>
        <w:tc>
          <w:tcPr>
            <w:tcW w:w="1474" w:type="dxa"/>
            <w:vAlign w:val="center"/>
          </w:tcPr>
          <w:p>
            <w:pPr>
              <w:pStyle w:val="15"/>
            </w:pPr>
            <w:r>
              <w:t>2620.00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6960.62</w:t>
            </w:r>
          </w:p>
        </w:tc>
        <w:tc>
          <w:tcPr>
            <w:tcW w:w="2551" w:type="dxa"/>
            <w:vAlign w:val="center"/>
          </w:tcPr>
          <w:p>
            <w:pPr>
              <w:pStyle w:val="15"/>
            </w:pPr>
            <w:r>
              <w:t>3129.45</w:t>
            </w:r>
          </w:p>
        </w:tc>
        <w:tc>
          <w:tcPr>
            <w:tcW w:w="2551" w:type="dxa"/>
            <w:vAlign w:val="center"/>
          </w:tcPr>
          <w:p>
            <w:pPr>
              <w:pStyle w:val="15"/>
            </w:pPr>
            <w:r>
              <w:t>3831.17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718.50</w:t>
            </w:r>
          </w:p>
        </w:tc>
        <w:tc>
          <w:tcPr>
            <w:tcW w:w="2551" w:type="dxa"/>
            <w:vAlign w:val="center"/>
          </w:tcPr>
          <w:p>
            <w:pPr>
              <w:pStyle w:val="11"/>
            </w:pPr>
            <w:r>
              <w:t>718.50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715.09</w:t>
            </w:r>
          </w:p>
        </w:tc>
        <w:tc>
          <w:tcPr>
            <w:tcW w:w="2551" w:type="dxa"/>
            <w:vAlign w:val="center"/>
          </w:tcPr>
          <w:p>
            <w:pPr>
              <w:pStyle w:val="11"/>
            </w:pPr>
            <w:r>
              <w:t>715.09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398.92</w:t>
            </w:r>
          </w:p>
        </w:tc>
        <w:tc>
          <w:tcPr>
            <w:tcW w:w="2551" w:type="dxa"/>
            <w:vAlign w:val="center"/>
          </w:tcPr>
          <w:p>
            <w:pPr>
              <w:pStyle w:val="11"/>
            </w:pPr>
            <w:r>
              <w:t>398.92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316.17</w:t>
            </w:r>
          </w:p>
        </w:tc>
        <w:tc>
          <w:tcPr>
            <w:tcW w:w="2551" w:type="dxa"/>
            <w:vAlign w:val="center"/>
          </w:tcPr>
          <w:p>
            <w:pPr>
              <w:pStyle w:val="11"/>
            </w:pPr>
            <w:r>
              <w:t>316.17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194.82</w:t>
            </w:r>
          </w:p>
        </w:tc>
        <w:tc>
          <w:tcPr>
            <w:tcW w:w="2551" w:type="dxa"/>
            <w:vAlign w:val="center"/>
          </w:tcPr>
          <w:p>
            <w:pPr>
              <w:pStyle w:val="11"/>
            </w:pPr>
            <w:r>
              <w:t>194.82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194.82</w:t>
            </w:r>
          </w:p>
        </w:tc>
        <w:tc>
          <w:tcPr>
            <w:tcW w:w="2551" w:type="dxa"/>
            <w:vAlign w:val="center"/>
          </w:tcPr>
          <w:p>
            <w:pPr>
              <w:pStyle w:val="11"/>
            </w:pPr>
            <w:r>
              <w:t>194.82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80.75</w:t>
            </w:r>
          </w:p>
        </w:tc>
        <w:tc>
          <w:tcPr>
            <w:tcW w:w="2551" w:type="dxa"/>
            <w:vAlign w:val="center"/>
          </w:tcPr>
          <w:p>
            <w:pPr>
              <w:pStyle w:val="11"/>
            </w:pPr>
            <w:r>
              <w:t>80.75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114.07</w:t>
            </w:r>
          </w:p>
        </w:tc>
        <w:tc>
          <w:tcPr>
            <w:tcW w:w="2551" w:type="dxa"/>
            <w:vAlign w:val="center"/>
          </w:tcPr>
          <w:p>
            <w:pPr>
              <w:pStyle w:val="11"/>
            </w:pPr>
            <w:r>
              <w:t>114.07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3129.45</w:t>
            </w:r>
          </w:p>
        </w:tc>
        <w:tc>
          <w:tcPr>
            <w:tcW w:w="2551" w:type="dxa"/>
            <w:vAlign w:val="center"/>
          </w:tcPr>
          <w:p>
            <w:pPr>
              <w:pStyle w:val="15"/>
            </w:pPr>
            <w:r>
              <w:t>2986.50</w:t>
            </w:r>
          </w:p>
        </w:tc>
        <w:tc>
          <w:tcPr>
            <w:tcW w:w="2552" w:type="dxa"/>
            <w:vAlign w:val="center"/>
          </w:tcPr>
          <w:p>
            <w:pPr>
              <w:pStyle w:val="15"/>
            </w:pPr>
            <w:r>
              <w:t>142.95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2584.00</w:t>
            </w:r>
          </w:p>
        </w:tc>
        <w:tc>
          <w:tcPr>
            <w:tcW w:w="2551" w:type="dxa"/>
            <w:vAlign w:val="center"/>
          </w:tcPr>
          <w:p>
            <w:pPr>
              <w:pStyle w:val="11"/>
            </w:pPr>
            <w:r>
              <w:t>2584.00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903.53</w:t>
            </w:r>
          </w:p>
        </w:tc>
        <w:tc>
          <w:tcPr>
            <w:tcW w:w="2551" w:type="dxa"/>
            <w:vAlign w:val="center"/>
          </w:tcPr>
          <w:p>
            <w:pPr>
              <w:pStyle w:val="11"/>
            </w:pPr>
            <w:r>
              <w:t>903.53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142.21</w:t>
            </w:r>
          </w:p>
        </w:tc>
        <w:tc>
          <w:tcPr>
            <w:tcW w:w="2551" w:type="dxa"/>
            <w:vAlign w:val="center"/>
          </w:tcPr>
          <w:p>
            <w:pPr>
              <w:pStyle w:val="11"/>
            </w:pPr>
            <w:r>
              <w:t>142.21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465.83</w:t>
            </w:r>
          </w:p>
        </w:tc>
        <w:tc>
          <w:tcPr>
            <w:tcW w:w="2551" w:type="dxa"/>
            <w:vAlign w:val="center"/>
          </w:tcPr>
          <w:p>
            <w:pPr>
              <w:pStyle w:val="11"/>
            </w:pPr>
            <w:r>
              <w:t>465.83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316.17</w:t>
            </w:r>
          </w:p>
        </w:tc>
        <w:tc>
          <w:tcPr>
            <w:tcW w:w="2551" w:type="dxa"/>
            <w:vAlign w:val="center"/>
          </w:tcPr>
          <w:p>
            <w:pPr>
              <w:pStyle w:val="11"/>
            </w:pPr>
            <w:r>
              <w:t>316.17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80.75</w:t>
            </w:r>
          </w:p>
        </w:tc>
        <w:tc>
          <w:tcPr>
            <w:tcW w:w="2551" w:type="dxa"/>
            <w:vAlign w:val="center"/>
          </w:tcPr>
          <w:p>
            <w:pPr>
              <w:pStyle w:val="11"/>
            </w:pPr>
            <w:r>
              <w:t>80.75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114.07</w:t>
            </w:r>
          </w:p>
        </w:tc>
        <w:tc>
          <w:tcPr>
            <w:tcW w:w="2551" w:type="dxa"/>
            <w:vAlign w:val="center"/>
          </w:tcPr>
          <w:p>
            <w:pPr>
              <w:pStyle w:val="11"/>
            </w:pPr>
            <w:r>
              <w:t>114.07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13.29</w:t>
            </w:r>
          </w:p>
        </w:tc>
        <w:tc>
          <w:tcPr>
            <w:tcW w:w="2551" w:type="dxa"/>
            <w:vAlign w:val="center"/>
          </w:tcPr>
          <w:p>
            <w:pPr>
              <w:pStyle w:val="11"/>
            </w:pPr>
            <w:r>
              <w:t>13.29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163.44</w:t>
            </w:r>
          </w:p>
        </w:tc>
        <w:tc>
          <w:tcPr>
            <w:tcW w:w="2551" w:type="dxa"/>
            <w:vAlign w:val="center"/>
          </w:tcPr>
          <w:p>
            <w:pPr>
              <w:pStyle w:val="11"/>
            </w:pPr>
            <w:r>
              <w:t>163.44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384.71</w:t>
            </w:r>
          </w:p>
        </w:tc>
        <w:tc>
          <w:tcPr>
            <w:tcW w:w="2551" w:type="dxa"/>
            <w:vAlign w:val="center"/>
          </w:tcPr>
          <w:p>
            <w:pPr>
              <w:pStyle w:val="11"/>
            </w:pPr>
            <w:r>
              <w:t>384.71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142.95</w:t>
            </w:r>
          </w:p>
        </w:tc>
        <w:tc>
          <w:tcPr>
            <w:tcW w:w="2551" w:type="dxa"/>
            <w:vAlign w:val="center"/>
          </w:tcPr>
          <w:p>
            <w:pPr>
              <w:pStyle w:val="11"/>
            </w:pPr>
          </w:p>
        </w:tc>
        <w:tc>
          <w:tcPr>
            <w:tcW w:w="2552" w:type="dxa"/>
            <w:vAlign w:val="center"/>
          </w:tcPr>
          <w:p>
            <w:pPr>
              <w:pStyle w:val="11"/>
            </w:pPr>
            <w:r>
              <w:t>142.95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24.66</w:t>
            </w:r>
          </w:p>
        </w:tc>
        <w:tc>
          <w:tcPr>
            <w:tcW w:w="2551" w:type="dxa"/>
            <w:vAlign w:val="center"/>
          </w:tcPr>
          <w:p>
            <w:pPr>
              <w:pStyle w:val="11"/>
            </w:pPr>
          </w:p>
        </w:tc>
        <w:tc>
          <w:tcPr>
            <w:tcW w:w="2552" w:type="dxa"/>
            <w:vAlign w:val="center"/>
          </w:tcPr>
          <w:p>
            <w:pPr>
              <w:pStyle w:val="11"/>
            </w:pPr>
            <w:r>
              <w:t>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2.30</w:t>
            </w:r>
          </w:p>
        </w:tc>
        <w:tc>
          <w:tcPr>
            <w:tcW w:w="2551" w:type="dxa"/>
            <w:vAlign w:val="center"/>
          </w:tcPr>
          <w:p>
            <w:pPr>
              <w:pStyle w:val="11"/>
            </w:pPr>
          </w:p>
        </w:tc>
        <w:tc>
          <w:tcPr>
            <w:tcW w:w="2552"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3.64</w:t>
            </w:r>
          </w:p>
        </w:tc>
        <w:tc>
          <w:tcPr>
            <w:tcW w:w="2551" w:type="dxa"/>
            <w:vAlign w:val="center"/>
          </w:tcPr>
          <w:p>
            <w:pPr>
              <w:pStyle w:val="11"/>
            </w:pPr>
          </w:p>
        </w:tc>
        <w:tc>
          <w:tcPr>
            <w:tcW w:w="2552" w:type="dxa"/>
            <w:vAlign w:val="center"/>
          </w:tcPr>
          <w:p>
            <w:pPr>
              <w:pStyle w:val="11"/>
            </w:pPr>
            <w:r>
              <w:t>3.64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15.55</w:t>
            </w:r>
          </w:p>
        </w:tc>
        <w:tc>
          <w:tcPr>
            <w:tcW w:w="2551" w:type="dxa"/>
            <w:vAlign w:val="center"/>
          </w:tcPr>
          <w:p>
            <w:pPr>
              <w:pStyle w:val="11"/>
            </w:pPr>
          </w:p>
        </w:tc>
        <w:tc>
          <w:tcPr>
            <w:tcW w:w="2552" w:type="dxa"/>
            <w:vAlign w:val="center"/>
          </w:tcPr>
          <w:p>
            <w:pPr>
              <w:pStyle w:val="11"/>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10.50</w:t>
            </w:r>
          </w:p>
        </w:tc>
        <w:tc>
          <w:tcPr>
            <w:tcW w:w="2551" w:type="dxa"/>
            <w:vAlign w:val="center"/>
          </w:tcPr>
          <w:p>
            <w:pPr>
              <w:pStyle w:val="11"/>
            </w:pPr>
          </w:p>
        </w:tc>
        <w:tc>
          <w:tcPr>
            <w:tcW w:w="2552"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4.08</w:t>
            </w:r>
          </w:p>
        </w:tc>
        <w:tc>
          <w:tcPr>
            <w:tcW w:w="2551" w:type="dxa"/>
            <w:vAlign w:val="center"/>
          </w:tcPr>
          <w:p>
            <w:pPr>
              <w:pStyle w:val="11"/>
            </w:pPr>
          </w:p>
        </w:tc>
        <w:tc>
          <w:tcPr>
            <w:tcW w:w="2552"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6.08</w:t>
            </w:r>
          </w:p>
        </w:tc>
        <w:tc>
          <w:tcPr>
            <w:tcW w:w="2551" w:type="dxa"/>
            <w:vAlign w:val="center"/>
          </w:tcPr>
          <w:p>
            <w:pPr>
              <w:pStyle w:val="11"/>
            </w:pPr>
          </w:p>
        </w:tc>
        <w:tc>
          <w:tcPr>
            <w:tcW w:w="2552" w:type="dxa"/>
            <w:vAlign w:val="center"/>
          </w:tcPr>
          <w:p>
            <w:pPr>
              <w:pStyle w:val="11"/>
            </w:pPr>
            <w:r>
              <w:t>6.08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5.34</w:t>
            </w:r>
          </w:p>
        </w:tc>
        <w:tc>
          <w:tcPr>
            <w:tcW w:w="2551" w:type="dxa"/>
            <w:vAlign w:val="center"/>
          </w:tcPr>
          <w:p>
            <w:pPr>
              <w:pStyle w:val="11"/>
            </w:pPr>
          </w:p>
        </w:tc>
        <w:tc>
          <w:tcPr>
            <w:tcW w:w="2552" w:type="dxa"/>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3.65</w:t>
            </w:r>
          </w:p>
        </w:tc>
        <w:tc>
          <w:tcPr>
            <w:tcW w:w="2551" w:type="dxa"/>
            <w:vAlign w:val="center"/>
          </w:tcPr>
          <w:p>
            <w:pPr>
              <w:pStyle w:val="11"/>
            </w:pPr>
          </w:p>
        </w:tc>
        <w:tc>
          <w:tcPr>
            <w:tcW w:w="2552"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13.28</w:t>
            </w:r>
          </w:p>
        </w:tc>
        <w:tc>
          <w:tcPr>
            <w:tcW w:w="2551" w:type="dxa"/>
            <w:vAlign w:val="center"/>
          </w:tcPr>
          <w:p>
            <w:pPr>
              <w:pStyle w:val="11"/>
            </w:pPr>
          </w:p>
        </w:tc>
        <w:tc>
          <w:tcPr>
            <w:tcW w:w="2552" w:type="dxa"/>
            <w:vAlign w:val="center"/>
          </w:tcPr>
          <w:p>
            <w:pPr>
              <w:pStyle w:val="11"/>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18.71</w:t>
            </w:r>
          </w:p>
        </w:tc>
        <w:tc>
          <w:tcPr>
            <w:tcW w:w="2551" w:type="dxa"/>
            <w:vAlign w:val="center"/>
          </w:tcPr>
          <w:p>
            <w:pPr>
              <w:pStyle w:val="11"/>
            </w:pPr>
          </w:p>
        </w:tc>
        <w:tc>
          <w:tcPr>
            <w:tcW w:w="2552" w:type="dxa"/>
            <w:vAlign w:val="center"/>
          </w:tcPr>
          <w:p>
            <w:pPr>
              <w:pStyle w:val="11"/>
            </w:pPr>
            <w: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6.37</w:t>
            </w:r>
          </w:p>
        </w:tc>
        <w:tc>
          <w:tcPr>
            <w:tcW w:w="2551" w:type="dxa"/>
            <w:vAlign w:val="center"/>
          </w:tcPr>
          <w:p>
            <w:pPr>
              <w:pStyle w:val="11"/>
            </w:pPr>
          </w:p>
        </w:tc>
        <w:tc>
          <w:tcPr>
            <w:tcW w:w="2552"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21.29</w:t>
            </w:r>
          </w:p>
        </w:tc>
        <w:tc>
          <w:tcPr>
            <w:tcW w:w="2551" w:type="dxa"/>
            <w:vAlign w:val="center"/>
          </w:tcPr>
          <w:p>
            <w:pPr>
              <w:pStyle w:val="11"/>
            </w:pPr>
          </w:p>
        </w:tc>
        <w:tc>
          <w:tcPr>
            <w:tcW w:w="2552" w:type="dxa"/>
            <w:vAlign w:val="center"/>
          </w:tcPr>
          <w:p>
            <w:pPr>
              <w:pStyle w:val="11"/>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402.50</w:t>
            </w:r>
          </w:p>
        </w:tc>
        <w:tc>
          <w:tcPr>
            <w:tcW w:w="2551" w:type="dxa"/>
            <w:vAlign w:val="center"/>
          </w:tcPr>
          <w:p>
            <w:pPr>
              <w:pStyle w:val="11"/>
            </w:pPr>
            <w:r>
              <w:t>402.50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398.92</w:t>
            </w:r>
          </w:p>
        </w:tc>
        <w:tc>
          <w:tcPr>
            <w:tcW w:w="2551" w:type="dxa"/>
            <w:vAlign w:val="center"/>
          </w:tcPr>
          <w:p>
            <w:pPr>
              <w:pStyle w:val="11"/>
            </w:pPr>
            <w:r>
              <w:t>398.92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3.41</w:t>
            </w:r>
          </w:p>
        </w:tc>
        <w:tc>
          <w:tcPr>
            <w:tcW w:w="2551" w:type="dxa"/>
            <w:vAlign w:val="center"/>
          </w:tcPr>
          <w:p>
            <w:pPr>
              <w:pStyle w:val="11"/>
            </w:pPr>
            <w:r>
              <w:t>3.41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0.17</w:t>
            </w:r>
          </w:p>
        </w:tc>
        <w:tc>
          <w:tcPr>
            <w:tcW w:w="2551" w:type="dxa"/>
            <w:vAlign w:val="center"/>
          </w:tcPr>
          <w:p>
            <w:pPr>
              <w:pStyle w:val="11"/>
            </w:pPr>
            <w:r>
              <w:t>0.17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2620.00</w:t>
            </w:r>
          </w:p>
        </w:tc>
        <w:tc>
          <w:tcPr>
            <w:tcW w:w="2551" w:type="dxa"/>
            <w:vAlign w:val="center"/>
          </w:tcPr>
          <w:p>
            <w:pPr>
              <w:pStyle w:val="15"/>
            </w:pPr>
          </w:p>
        </w:tc>
        <w:tc>
          <w:tcPr>
            <w:tcW w:w="2551" w:type="dxa"/>
            <w:vAlign w:val="center"/>
          </w:tcPr>
          <w:p>
            <w:pPr>
              <w:pStyle w:val="15"/>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509衡水市园林中心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1</w:t>
            </w:r>
          </w:p>
        </w:tc>
        <w:tc>
          <w:tcPr>
            <w:tcW w:w="3798" w:type="dxa"/>
            <w:vAlign w:val="center"/>
          </w:tcPr>
          <w:p>
            <w:pPr>
              <w:pStyle w:val="12"/>
            </w:pPr>
            <w:r>
              <w:rPr>
                <w:rFonts w:hint="eastAsia"/>
              </w:rPr>
              <w:t>合计</w:t>
            </w:r>
          </w:p>
        </w:tc>
        <w:tc>
          <w:tcPr>
            <w:tcW w:w="2382" w:type="dxa"/>
            <w:vAlign w:val="center"/>
          </w:tcPr>
          <w:p>
            <w:pPr>
              <w:pStyle w:val="11"/>
            </w:pPr>
            <w:r>
              <w:rPr>
                <w:rFonts w:hint="eastAsia"/>
                <w:lang w:eastAsia="zh-CN"/>
              </w:rPr>
              <w:t>6.84</w:t>
            </w:r>
          </w:p>
        </w:tc>
        <w:tc>
          <w:tcPr>
            <w:tcW w:w="2381" w:type="dxa"/>
            <w:vAlign w:val="center"/>
          </w:tcPr>
          <w:p>
            <w:pPr>
              <w:pStyle w:val="11"/>
            </w:pPr>
            <w:r>
              <w:rPr>
                <w:rFonts w:hint="eastAsia"/>
                <w:lang w:eastAsia="zh-CN"/>
              </w:rPr>
              <w:t>6.84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2</w:t>
            </w:r>
          </w:p>
        </w:tc>
        <w:tc>
          <w:tcPr>
            <w:tcW w:w="3798" w:type="dxa"/>
            <w:vAlign w:val="center"/>
          </w:tcPr>
          <w:p>
            <w:pPr>
              <w:pStyle w:val="12"/>
            </w:pPr>
            <w:r>
              <w:rPr>
                <w:rFonts w:hint="eastAsia"/>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rPr>
                <w:rFonts w:hint="eastAsia"/>
              </w:rPr>
              <w:t>二、公务用车购置及运维费</w:t>
            </w:r>
          </w:p>
        </w:tc>
        <w:tc>
          <w:tcPr>
            <w:tcW w:w="2382" w:type="dxa"/>
            <w:vAlign w:val="center"/>
          </w:tcPr>
          <w:p>
            <w:pPr>
              <w:pStyle w:val="11"/>
            </w:pPr>
            <w:r>
              <w:rPr>
                <w:rFonts w:hint="eastAsia"/>
                <w:lang w:eastAsia="zh-CN"/>
              </w:rPr>
              <w:t>1.5</w:t>
            </w:r>
          </w:p>
        </w:tc>
        <w:tc>
          <w:tcPr>
            <w:tcW w:w="2381" w:type="dxa"/>
            <w:vAlign w:val="center"/>
          </w:tcPr>
          <w:p>
            <w:pPr>
              <w:pStyle w:val="11"/>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t xml:space="preserve">    </w:t>
            </w:r>
            <w:r>
              <w:rPr>
                <w:rFonts w:hint="eastAsia"/>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t xml:space="preserve">          </w:t>
            </w:r>
            <w:r>
              <w:rPr>
                <w:rFonts w:hint="eastAsia"/>
              </w:rPr>
              <w:t>公务用车运行维护费</w:t>
            </w:r>
          </w:p>
        </w:tc>
        <w:tc>
          <w:tcPr>
            <w:tcW w:w="2382" w:type="dxa"/>
            <w:vAlign w:val="center"/>
          </w:tcPr>
          <w:p>
            <w:pPr>
              <w:pStyle w:val="11"/>
            </w:pPr>
            <w:r>
              <w:rPr>
                <w:rFonts w:hint="eastAsia"/>
                <w:lang w:eastAsia="zh-CN"/>
              </w:rPr>
              <w:t>1.5</w:t>
            </w:r>
          </w:p>
        </w:tc>
        <w:tc>
          <w:tcPr>
            <w:tcW w:w="2381" w:type="dxa"/>
            <w:vAlign w:val="center"/>
          </w:tcPr>
          <w:p>
            <w:pPr>
              <w:pStyle w:val="11"/>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rPr>
                <w:rFonts w:hint="eastAsia"/>
              </w:rPr>
              <w:t>三、公务接待费</w:t>
            </w:r>
          </w:p>
        </w:tc>
        <w:tc>
          <w:tcPr>
            <w:tcW w:w="2382" w:type="dxa"/>
            <w:vAlign w:val="center"/>
          </w:tcPr>
          <w:p>
            <w:pPr>
              <w:pStyle w:val="11"/>
            </w:pPr>
            <w:r>
              <w:rPr>
                <w:rFonts w:hint="eastAsia"/>
                <w:lang w:eastAsia="zh-CN"/>
              </w:rPr>
              <w:t>5.34</w:t>
            </w:r>
          </w:p>
        </w:tc>
        <w:tc>
          <w:tcPr>
            <w:tcW w:w="2381" w:type="dxa"/>
            <w:vAlign w:val="center"/>
          </w:tcPr>
          <w:p>
            <w:pPr>
              <w:pStyle w:val="11"/>
            </w:pPr>
            <w:r>
              <w:rPr>
                <w:rFonts w:hint="eastAsia"/>
                <w:lang w:eastAsia="zh-CN"/>
              </w:rPr>
              <w:t>5.34</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衡水市园林中心2022年部门预算信息公开情况说明</w:t>
      </w:r>
    </w:p>
    <w:p>
      <w:pPr>
        <w:jc w:val="center"/>
      </w:pPr>
      <w:r>
        <w:rPr>
          <w:rFonts w:ascii="方正小标宋_GBK" w:hAnsi="方正小标宋_GBK" w:eastAsia="方正小标宋_GBK" w:cs="方正小标宋_GBK"/>
          <w:color w:val="000000"/>
          <w:sz w:val="44"/>
        </w:rPr>
        <w:t>衡水市园林中心2022年部门预算信息公开情况说明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》、《地方预决算公开操作规程》和《关于进一步推进预算公开工作的实施意见》规定，现将衡水市园林中心2022年部门预算公开如下：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承担市区主干道绿地及10公顷以上市级综合性公园、专类园等城市公园的养护管理；</w:t>
      </w:r>
    </w:p>
    <w:p>
      <w:pPr>
        <w:pStyle w:val="17"/>
      </w:pPr>
      <w:r>
        <w:t>负责园博园、植物园的养护管理；</w:t>
      </w:r>
    </w:p>
    <w:p>
      <w:pPr>
        <w:pStyle w:val="17"/>
      </w:pPr>
      <w:r>
        <w:t>负责对城市规划区内防护绿地、单位附属绿地、居住区绿地、生产绿地的建设管理工作提供技术服务保障；</w:t>
      </w:r>
    </w:p>
    <w:p>
      <w:pPr>
        <w:pStyle w:val="17"/>
      </w:pPr>
      <w:r>
        <w:t>负责市区内全民义务植树协调服务工作；</w:t>
      </w:r>
    </w:p>
    <w:p>
      <w:pPr>
        <w:pStyle w:val="17"/>
      </w:pPr>
      <w:r>
        <w:t>承担园林城市（县城、城区）、生态园林城市、星级公园、园林式单位（居住区、街道）创建相关工作；</w:t>
      </w:r>
    </w:p>
    <w:p>
      <w:pPr>
        <w:pStyle w:val="17"/>
      </w:pPr>
      <w:r>
        <w:t>负责开展城市古树名木保护研究与技术服务；</w:t>
      </w:r>
    </w:p>
    <w:p>
      <w:pPr>
        <w:pStyle w:val="17"/>
      </w:pPr>
      <w:r>
        <w:t>负责参与研究园林绿化工程方面的技术标准；</w:t>
      </w:r>
    </w:p>
    <w:p>
      <w:pPr>
        <w:pStyle w:val="17"/>
      </w:pPr>
      <w:r>
        <w:t>承担城市园林绿化科学研究，推广园林绿化先进技术，组织重大园林绿化科技项目攻关及成果推广；</w:t>
      </w:r>
    </w:p>
    <w:p>
      <w:pPr>
        <w:pStyle w:val="17"/>
      </w:pPr>
      <w:r>
        <w:t>负责开展园林绿化方面的国际国内交流与合作；</w:t>
      </w:r>
    </w:p>
    <w:p>
      <w:pPr>
        <w:pStyle w:val="17"/>
      </w:pPr>
      <w:r>
        <w:t>承办市委市政府交办的其他事项。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衡水市园林中心本级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部门预算的编制实行综合预算管理，即全部收入和支出都反映在预算中。衡水市园林中心机关及所属事业单位的收支包含在部门预算中。</w:t>
      </w:r>
    </w:p>
    <w:p>
      <w:pPr>
        <w:pStyle w:val="21"/>
      </w:pPr>
      <w:r>
        <w:rPr>
          <w:rFonts w:hint="eastAsia"/>
        </w:rPr>
        <w:t>1、收入说明</w:t>
      </w:r>
    </w:p>
    <w:p>
      <w:pPr>
        <w:pStyle w:val="21"/>
      </w:pPr>
      <w:r>
        <w:rPr>
          <w:rFonts w:hint="eastAsia"/>
        </w:rPr>
        <w:t>反映本部门当年全部收入。2022年预算收入9580.62万元，其中：一般公共预算收入</w:t>
      </w:r>
      <w:r>
        <w:t>6960.62</w:t>
      </w:r>
      <w:r>
        <w:rPr>
          <w:rFonts w:hint="eastAsia"/>
        </w:rPr>
        <w:t>万元</w:t>
      </w:r>
      <w:r>
        <w:rPr>
          <w:rFonts w:hint="eastAsia" w:eastAsiaTheme="minorEastAsia"/>
          <w:lang w:eastAsia="zh-CN"/>
        </w:rPr>
        <w:t>（含上年结转3.97万元）</w:t>
      </w:r>
      <w:r>
        <w:rPr>
          <w:rFonts w:hint="eastAsia"/>
        </w:rPr>
        <w:t>，基金预算收入2620万元。</w:t>
      </w:r>
    </w:p>
    <w:p>
      <w:pPr>
        <w:pStyle w:val="21"/>
      </w:pPr>
      <w:r>
        <w:rPr>
          <w:rFonts w:hint="eastAsia"/>
        </w:rPr>
        <w:t>2、支出说明</w:t>
      </w:r>
    </w:p>
    <w:p>
      <w:pPr>
        <w:pStyle w:val="21"/>
      </w:pPr>
      <w:r>
        <w:rPr>
          <w:rFonts w:hint="eastAsia"/>
        </w:rPr>
        <w:t>收支预算总表支出栏、基本支出表、项目支出表按经济分类和支出功能分类科目编制，反映衡水市园林中心年度部门预算中支出预算的总体情况。2022年部门支出预算为9580.62万元，其中基本支出3129.45万元，包括人员经费2986.5万元和日常公用经费142.95万元；项目支出6451.17万元，主要为园林城市维护费（一般预算），园博园常态运营及管理，河北省第六届园博会（沧州）衡水园建设项目，节假日、马拉松街道绿化美化，创建国家园林城市工作经费，口袋公园建设项目，市区立体花坛恢复项目等。</w:t>
      </w:r>
    </w:p>
    <w:p>
      <w:pPr>
        <w:pStyle w:val="21"/>
      </w:pPr>
      <w:r>
        <w:rPr>
          <w:rFonts w:hint="eastAsia"/>
        </w:rPr>
        <w:t>3、比上年增减情况</w:t>
      </w:r>
    </w:p>
    <w:p>
      <w:pPr>
        <w:pStyle w:val="21"/>
        <w:rPr>
          <w:rFonts w:eastAsiaTheme="minorEastAsia"/>
          <w:lang w:eastAsia="zh-CN"/>
        </w:rPr>
      </w:pPr>
      <w:r>
        <w:rPr>
          <w:rFonts w:hint="eastAsia" w:eastAsiaTheme="minorEastAsia"/>
          <w:lang w:eastAsia="zh-CN"/>
        </w:rPr>
        <w:t>2022年预算收支安排</w:t>
      </w:r>
      <w:r>
        <w:rPr>
          <w:rFonts w:hint="eastAsia"/>
        </w:rPr>
        <w:t>9580.62万元</w:t>
      </w:r>
      <w:r>
        <w:rPr>
          <w:rFonts w:hint="eastAsia" w:eastAsiaTheme="minorEastAsia"/>
          <w:lang w:eastAsia="zh-CN"/>
        </w:rPr>
        <w:t>，较上年减少1105.97万元，其中：基本支出增加269.8万元，主要为增加人员经费支出；项目支出（含2021年结转3.97万元）减少1375.77万元，主要为专项项目资金减少。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rPr>
        <w:t>2022年，我部门机关运行经费共计安排142.95万元，主要用于保证机关正常运转的办公及印刷费、邮电费、差旅费、会议费、福利费、办公用房水电费、办公用房取暖费、日常维修费、公务车运行维护费等支出。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eastAsiaTheme="minorEastAsia"/>
          <w:lang w:eastAsia="zh-CN"/>
        </w:rPr>
      </w:pPr>
      <w:r>
        <w:rPr>
          <w:rFonts w:hint="eastAsia" w:eastAsiaTheme="minorEastAsia"/>
          <w:lang w:eastAsia="zh-CN"/>
        </w:rPr>
        <w:t>2022年财政拨款“三公”经费预算安排6.84万元，其中</w:t>
      </w:r>
      <w:r>
        <w:rPr>
          <w:rFonts w:hint="eastAsia"/>
        </w:rPr>
        <w:t>因公出国（境）费</w:t>
      </w:r>
      <w:r>
        <w:rPr>
          <w:rFonts w:hint="eastAsia" w:eastAsiaTheme="minorEastAsia"/>
          <w:lang w:eastAsia="zh-CN"/>
        </w:rPr>
        <w:t>0万元；公务用车购置及运维费1.5万元（其中：公务用车购置费0万元，公务用车运行维护费1.5万元）；公务接待费5.34万元。与2021年相比减少23万元，原因为减少了公务用车购置。</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 xml:space="preserve">坚持以习近平生态文明思想为指导，深入学习贯彻落实十九届六中全会精神，促进我市园林高质量发展。 </w:t>
      </w:r>
    </w:p>
    <w:p>
      <w:pPr>
        <w:pStyle w:val="21"/>
      </w:pPr>
      <w:r>
        <w:t>2022年，按照市委、市政府的安排部署，衡水市园林中心继续加强园林城市建设，推进城市公园、绿地建设，做好市区街道、公园绿化养护工作，更加注重园林绿化精细化管理；继续推进口袋公园建设，2022年通过企业代建、共建的方式计划完成20个口袋公园的建设任务，提升口袋公园建设标准，填补公园绿地覆盖盲区，提升我市人居环境品质，更好地满足市民对美好生活的向往，提高市民的获得感和幸福感；完成河北省下达的古树名木保护任务；完成河北省第六届（沧州）园林博览会衡水园建设任务，保证衡水园顺利开园；按照工作要求，继续完成奥体中心公园当期建设任务。</w:t>
      </w:r>
    </w:p>
    <w:p>
      <w:pPr>
        <w:spacing w:line="500" w:lineRule="exact"/>
        <w:ind w:firstLine="560"/>
      </w:pPr>
      <w:r>
        <w:rPr>
          <w:rFonts w:eastAsia="方正仿宋_GBK"/>
          <w:color w:val="000000"/>
          <w:sz w:val="28"/>
        </w:rPr>
        <w:t>（二）分项绩效目标</w:t>
      </w:r>
    </w:p>
    <w:p>
      <w:pPr>
        <w:pStyle w:val="22"/>
      </w:pPr>
      <w:r>
        <w:rPr>
          <w:rFonts w:hint="eastAsia" w:asciiTheme="minorEastAsia" w:hAnsiTheme="minorEastAsia" w:eastAsiaTheme="minorEastAsia"/>
          <w:lang w:eastAsia="zh-CN"/>
        </w:rPr>
        <w:t>1.</w:t>
      </w:r>
      <w:r>
        <w:t>推进市区街道、公园绿化养护工作</w:t>
      </w:r>
    </w:p>
    <w:p>
      <w:pPr>
        <w:pStyle w:val="22"/>
      </w:pPr>
      <w:r>
        <w:t>绩效目标：保证市区公园、游园绿地、乔灌木生长良好；保证公园、游园基础设施完好，满足市民休闲场所需求；市区乔灌木补植到位，美化城市绿化景观，提升城市形象。</w:t>
      </w:r>
    </w:p>
    <w:p>
      <w:pPr>
        <w:pStyle w:val="22"/>
      </w:pPr>
      <w:r>
        <w:t>绩效指标：通过园林绿化养护管理，保证市区植物材料生长良好、公园游园基础设施完整的基本支出，提升市区绿化美化效果，提高市民的满意度。</w:t>
      </w:r>
    </w:p>
    <w:p>
      <w:pPr>
        <w:pStyle w:val="22"/>
      </w:pPr>
      <w:r>
        <w:rPr>
          <w:rFonts w:hint="eastAsia" w:asciiTheme="minorEastAsia" w:hAnsiTheme="minorEastAsia" w:eastAsiaTheme="minorEastAsia"/>
          <w:lang w:eastAsia="zh-CN"/>
        </w:rPr>
        <w:t>2.</w:t>
      </w:r>
      <w:r>
        <w:t>完成河北省第六届（沧州）园林博览会衡水园建设</w:t>
      </w:r>
    </w:p>
    <w:p>
      <w:pPr>
        <w:pStyle w:val="22"/>
      </w:pPr>
      <w:r>
        <w:t>绩效目标：保证河北省第六届（沧州）园林博览会衡水园建设顺利完工，验收合格，保证沧州园博会衡水园顺利开园，弘扬园林文化，突出展示衡水市历史与文化特色，全面服务游客</w:t>
      </w:r>
    </w:p>
    <w:p>
      <w:pPr>
        <w:pStyle w:val="22"/>
      </w:pPr>
      <w:r>
        <w:t>绩效指标：沧州园博会衡水园建设工程按合同约定期限完工，验收合格，保证沧州园博会正常开园，提升沧州园博会的景观效果，突出展示衡水市历史与文化特色，全面服务游客，提高衡水知名度。</w:t>
      </w:r>
    </w:p>
    <w:p>
      <w:pPr>
        <w:pStyle w:val="22"/>
      </w:pPr>
      <w:r>
        <w:rPr>
          <w:rFonts w:hint="eastAsia" w:asciiTheme="minorEastAsia" w:hAnsiTheme="minorEastAsia" w:eastAsiaTheme="minorEastAsia"/>
          <w:lang w:eastAsia="zh-CN"/>
        </w:rPr>
        <w:t>3.</w:t>
      </w:r>
      <w:r>
        <w:t>完成奥体中心公园当期建设任务</w:t>
      </w:r>
    </w:p>
    <w:p>
      <w:pPr>
        <w:pStyle w:val="22"/>
      </w:pPr>
      <w:r>
        <w:t>绩效目标：按合同要求完成当期施工建设，美化城市绿化监管，提高城市形象，提升城市品位。</w:t>
      </w:r>
    </w:p>
    <w:p>
      <w:pPr>
        <w:pStyle w:val="22"/>
      </w:pPr>
      <w:r>
        <w:t>绩效指标：完成建设奥体中心公园绿地绿化工作，保证苗木成活率达到95%以上，建成功能齐全、参与性强、环境优美的城市公共开放空间，提升城市形象和价值。</w:t>
      </w:r>
    </w:p>
    <w:p>
      <w:pPr>
        <w:pStyle w:val="22"/>
      </w:pPr>
      <w:r>
        <w:rPr>
          <w:rFonts w:hint="eastAsia" w:asciiTheme="minorEastAsia" w:hAnsiTheme="minorEastAsia" w:eastAsiaTheme="minorEastAsia"/>
          <w:lang w:eastAsia="zh-CN"/>
        </w:rPr>
        <w:t>4.</w:t>
      </w:r>
      <w:r>
        <w:t>口袋公园建设项目</w:t>
      </w:r>
    </w:p>
    <w:p>
      <w:pPr>
        <w:pStyle w:val="22"/>
      </w:pPr>
      <w:r>
        <w:t>绩效目标：通过拆违新建、破硬新建、道路绿地改造、拆墙透绿提升等多种形式，计划建设口袋公园20处，美化城市绿化景观，提升城市形象及竞争力。</w:t>
      </w:r>
    </w:p>
    <w:p>
      <w:pPr>
        <w:pStyle w:val="22"/>
      </w:pPr>
      <w:r>
        <w:t>绩效指标：根据合同规定，按时完工，工程质量达标验收合格，按照科学化、标准化的要求，保证市区口袋公园建设工作顺利完成，提升社会环境，优化城市绿地布局，增加市区绿地面积，提升市民满意度。</w:t>
      </w:r>
    </w:p>
    <w:p>
      <w:pPr>
        <w:pStyle w:val="22"/>
      </w:pPr>
    </w:p>
    <w:p>
      <w:pPr>
        <w:spacing w:line="500" w:lineRule="exact"/>
        <w:ind w:firstLine="560"/>
      </w:pPr>
      <w:r>
        <w:rPr>
          <w:rFonts w:eastAsia="方正仿宋_GBK"/>
          <w:color w:val="000000"/>
          <w:sz w:val="28"/>
        </w:rPr>
        <w:t>（三）工作保障措施</w:t>
      </w:r>
    </w:p>
    <w:p>
      <w:pPr>
        <w:pStyle w:val="23"/>
      </w:pPr>
      <w:r>
        <w:rPr>
          <w:rFonts w:hint="eastAsia" w:asciiTheme="minorEastAsia" w:hAnsiTheme="minorEastAsia" w:eastAsiaTheme="minorEastAsia"/>
          <w:lang w:eastAsia="zh-CN"/>
        </w:rPr>
        <w:t>1.</w:t>
      </w:r>
      <w:r>
        <w:t>加强组织领导，完善制度建设。建立健全预算绩效管理制度体系，具体完善预算绩效管理制度，资金管理办法等制度。在预算管理的各个环节中，充分发挥目标管理、运行监控、绩效评价的作用，细化工作方案，明确责任主体、实施进度要求，为全年预算绩效目标的实现奠定制度基础。</w:t>
      </w:r>
    </w:p>
    <w:p>
      <w:pPr>
        <w:pStyle w:val="23"/>
      </w:pPr>
      <w:r>
        <w:rPr>
          <w:rFonts w:hint="eastAsia" w:asciiTheme="minorEastAsia" w:hAnsiTheme="minorEastAsia" w:eastAsiaTheme="minorEastAsia"/>
          <w:lang w:eastAsia="zh-CN"/>
        </w:rPr>
        <w:t>2.</w:t>
      </w:r>
      <w:r>
        <w:t>做好绩效评价，强化预算执行。按要求开展本年度部门预算绩效自评和重点评价工作，对评价中发现的问题及时整改。按要求开展绩效运行监控，发现问题及时采取措施，确保绩效目标如期保质实现。</w:t>
      </w:r>
    </w:p>
    <w:p>
      <w:pPr>
        <w:pStyle w:val="23"/>
      </w:pPr>
      <w:r>
        <w:t>严格按照预算的相关规定和要求来编制部门预算，以各科室单位的年度业务活动安排为起点，加强与各科室单位的交流沟通，进一步提高预算的精细化、准确化，确保部门预算的全面、科学，确保年度任务的顺利开展。</w:t>
      </w:r>
    </w:p>
    <w:p>
      <w:pPr>
        <w:pStyle w:val="23"/>
      </w:pPr>
      <w:r>
        <w:rPr>
          <w:rFonts w:hint="eastAsia" w:asciiTheme="minorEastAsia" w:hAnsiTheme="minorEastAsia" w:eastAsiaTheme="minorEastAsia"/>
          <w:lang w:eastAsia="zh-CN"/>
        </w:rPr>
        <w:t>3.</w:t>
      </w:r>
      <w:r>
        <w:t>加强支出管理，合理规划资金资产。建立健全财务管理制度，严格审批程序，加快支出进度；加强固定资产登记、使用和报废处置管理，保证国有资产的完整性。</w:t>
      </w:r>
    </w:p>
    <w:p>
      <w:pPr>
        <w:pStyle w:val="23"/>
      </w:pPr>
      <w:r>
        <w:rPr>
          <w:rFonts w:hint="eastAsia" w:asciiTheme="minorEastAsia" w:hAnsiTheme="minorEastAsia" w:eastAsiaTheme="minorEastAsia"/>
          <w:lang w:eastAsia="zh-CN"/>
        </w:rPr>
        <w:t>4.</w:t>
      </w:r>
      <w:r>
        <w:t>重视内部管理，加强内部监督。建立健全内部管理制度，加强内部监督体系建设，对绩效运行情况、重大支出决策及其他重要经济业务事项的决策和执行进行督导，对会计资料进行内部审计，并配合做好审计、财政监督等外部审计工作，确保财政资金安全有效。</w:t>
      </w:r>
    </w:p>
    <w:p>
      <w:pPr>
        <w:pStyle w:val="23"/>
      </w:pPr>
      <w:r>
        <w:rPr>
          <w:rFonts w:hint="eastAsia" w:asciiTheme="minorEastAsia" w:hAnsiTheme="minorEastAsia" w:eastAsiaTheme="minorEastAsia"/>
          <w:lang w:eastAsia="zh-CN"/>
        </w:rPr>
        <w:t>5.</w:t>
      </w:r>
      <w:r>
        <w:t>加强宣传培训调研等。加强人员培训，提高本部门职工业务素质；加大宣传力度，强化预算绩效管理意识，促进预算绩效管理水平进一步提升。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预算项目绩效目标</w:t>
      </w:r>
    </w:p>
    <w:p>
      <w:pPr>
        <w:pStyle w:val="24"/>
        <w:ind w:firstLine="560"/>
      </w:pPr>
      <w:r>
        <w:rPr>
          <w:rFonts w:ascii="方正仿宋_GBK" w:hAnsi="方正仿宋_GBK" w:eastAsia="方正仿宋_GBK" w:cs="方正仿宋_GBK"/>
          <w:b/>
          <w:color w:val="000000"/>
          <w:sz w:val="28"/>
        </w:rPr>
        <w:t>1、2021年河北省第五届园博会（唐山）衡水园建设项目绩效目标表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1.按合同和评审报告支付工程款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按合同要求，符合验收要求</w:t>
            </w:r>
          </w:p>
        </w:tc>
        <w:tc>
          <w:tcPr>
            <w:tcW w:w="2551" w:type="dxa"/>
            <w:vAlign w:val="center"/>
          </w:tcPr>
          <w:p>
            <w:pPr>
              <w:pStyle w:val="26"/>
            </w:pPr>
            <w:r>
              <w:t>按照合同要求施工，验收合格，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按合同和评审报告支付工程款</w:t>
            </w:r>
          </w:p>
        </w:tc>
        <w:tc>
          <w:tcPr>
            <w:tcW w:w="2551" w:type="dxa"/>
            <w:vAlign w:val="center"/>
          </w:tcPr>
          <w:p>
            <w:pPr>
              <w:pStyle w:val="26"/>
            </w:pPr>
            <w:r>
              <w:t>按照合同和评审报告支付工程款</w:t>
            </w:r>
          </w:p>
        </w:tc>
        <w:tc>
          <w:tcPr>
            <w:tcW w:w="2268" w:type="dxa"/>
            <w:vAlign w:val="center"/>
          </w:tcPr>
          <w:p>
            <w:pPr>
              <w:pStyle w:val="26"/>
            </w:pPr>
            <w:r>
              <w:t>合同和评审报告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提升唐山园博会的景观效果</w:t>
            </w:r>
          </w:p>
        </w:tc>
        <w:tc>
          <w:tcPr>
            <w:tcW w:w="2551" w:type="dxa"/>
            <w:vAlign w:val="center"/>
          </w:tcPr>
          <w:p>
            <w:pPr>
              <w:pStyle w:val="26"/>
            </w:pPr>
            <w:r>
              <w:t>提升唐山园博会的景观效果，提高衡水知名度</w:t>
            </w:r>
          </w:p>
        </w:tc>
        <w:tc>
          <w:tcPr>
            <w:tcW w:w="2268" w:type="dxa"/>
            <w:vAlign w:val="center"/>
          </w:tcPr>
          <w:p>
            <w:pPr>
              <w:pStyle w:val="26"/>
            </w:pPr>
            <w:r>
              <w:t>绿化景观情况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2、2021年黑臭水体治理示范-人民公园生态提升改造工程绩效目标表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1.全园完成活水循环，做到水清岸绿、鱼翔浅底、人水和谐，形成良好的水生态系统</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按合同和评审结果支付工程款</w:t>
            </w:r>
          </w:p>
        </w:tc>
        <w:tc>
          <w:tcPr>
            <w:tcW w:w="2551" w:type="dxa"/>
            <w:vAlign w:val="center"/>
          </w:tcPr>
          <w:p>
            <w:pPr>
              <w:pStyle w:val="26"/>
            </w:pPr>
            <w:r>
              <w:t>按照合同和评审报告支付工程款</w:t>
            </w:r>
          </w:p>
        </w:tc>
        <w:tc>
          <w:tcPr>
            <w:tcW w:w="2268" w:type="dxa"/>
            <w:vAlign w:val="center"/>
          </w:tcPr>
          <w:p>
            <w:pPr>
              <w:pStyle w:val="26"/>
            </w:pPr>
            <w:r>
              <w:t>合同及评审报告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w:t>
            </w:r>
          </w:p>
        </w:tc>
        <w:tc>
          <w:tcPr>
            <w:tcW w:w="2835" w:type="dxa"/>
            <w:vAlign w:val="center"/>
          </w:tcPr>
          <w:p>
            <w:pPr>
              <w:pStyle w:val="26"/>
            </w:pPr>
            <w:r>
              <w:t>改善湖体水质，提供优美的公园水体环境</w:t>
            </w:r>
          </w:p>
        </w:tc>
        <w:tc>
          <w:tcPr>
            <w:tcW w:w="2551" w:type="dxa"/>
            <w:vAlign w:val="center"/>
          </w:tcPr>
          <w:p>
            <w:pPr>
              <w:pStyle w:val="26"/>
            </w:pPr>
            <w:r>
              <w:t>改善湖体水质，提供优美的公园水体环境，提升社会环境</w:t>
            </w:r>
          </w:p>
        </w:tc>
        <w:tc>
          <w:tcPr>
            <w:tcW w:w="2268" w:type="dxa"/>
            <w:vAlign w:val="center"/>
          </w:tcPr>
          <w:p>
            <w:pPr>
              <w:pStyle w:val="26"/>
            </w:pPr>
            <w:r>
              <w:t>衡黑水办【2020】6号《</w:t>
            </w:r>
            <w:r>
              <w:rPr>
                <w:rFonts w:hint="eastAsia"/>
                <w:lang w:eastAsia="zh-CN"/>
              </w:rPr>
              <w:t>关于</w:t>
            </w:r>
            <w:r>
              <w:t>统筹推</w:t>
            </w:r>
            <w:r>
              <w:rPr>
                <w:rFonts w:hint="eastAsia"/>
                <w:lang w:val="en-US" w:eastAsia="zh-CN"/>
              </w:rPr>
              <w:t>进</w:t>
            </w:r>
            <w:r>
              <w:t>国家  黑</w:t>
            </w:r>
            <w:r>
              <w:rPr>
                <w:rFonts w:hint="eastAsia"/>
                <w:lang w:val="en-US" w:eastAsia="zh-CN"/>
              </w:rPr>
              <w:t>臭</w:t>
            </w:r>
            <w:r>
              <w:t>水体治理示范城市项目建设的请</w:t>
            </w:r>
            <w:bookmarkStart w:id="18" w:name="_GoBack"/>
            <w:bookmarkEnd w:id="18"/>
            <w:r>
              <w:t>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3、2021年口袋公园建设项目尾款绩效目标表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1.按合同约定支付工程款，保障口袋公园的建设顺利进</w:t>
            </w:r>
          </w:p>
          <w:p>
            <w:pPr>
              <w:pStyle w:val="26"/>
            </w:pPr>
            <w:r>
              <w:t>2.提高城市绿化效果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建设的口袋公园数量</w:t>
            </w:r>
          </w:p>
        </w:tc>
        <w:tc>
          <w:tcPr>
            <w:tcW w:w="2835" w:type="dxa"/>
            <w:vAlign w:val="center"/>
          </w:tcPr>
          <w:p>
            <w:pPr>
              <w:pStyle w:val="26"/>
            </w:pPr>
            <w:r>
              <w:t>按合同要求需要建设的口袋公园数量</w:t>
            </w:r>
          </w:p>
        </w:tc>
        <w:tc>
          <w:tcPr>
            <w:tcW w:w="2551" w:type="dxa"/>
            <w:vAlign w:val="center"/>
          </w:tcPr>
          <w:p>
            <w:pPr>
              <w:pStyle w:val="26"/>
            </w:pPr>
            <w:r>
              <w:t>4个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按合同约定或评审结果支付工程款</w:t>
            </w:r>
          </w:p>
        </w:tc>
        <w:tc>
          <w:tcPr>
            <w:tcW w:w="2551" w:type="dxa"/>
            <w:vAlign w:val="center"/>
          </w:tcPr>
          <w:p>
            <w:pPr>
              <w:pStyle w:val="26"/>
            </w:pPr>
            <w:r>
              <w:t>按照合同约定和验收情况支付工程款</w:t>
            </w:r>
          </w:p>
        </w:tc>
        <w:tc>
          <w:tcPr>
            <w:tcW w:w="2268" w:type="dxa"/>
            <w:vAlign w:val="center"/>
          </w:tcPr>
          <w:p>
            <w:pPr>
              <w:pStyle w:val="26"/>
            </w:pPr>
            <w: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增加市区绿地面积，提升景观绿化效果，提升市民满意度</w:t>
            </w:r>
          </w:p>
        </w:tc>
        <w:tc>
          <w:tcPr>
            <w:tcW w:w="2551" w:type="dxa"/>
            <w:vAlign w:val="center"/>
          </w:tcPr>
          <w:p>
            <w:pPr>
              <w:pStyle w:val="26"/>
            </w:pPr>
            <w:r>
              <w:t>保证口袋公园建设工作顺利完工</w:t>
            </w:r>
          </w:p>
        </w:tc>
        <w:tc>
          <w:tcPr>
            <w:tcW w:w="2268" w:type="dxa"/>
            <w:vAlign w:val="center"/>
          </w:tcPr>
          <w:p>
            <w:pPr>
              <w:pStyle w:val="26"/>
            </w:pPr>
            <w:r>
              <w:t>冀建城管函（2020）90号《河北省住房和城乡建设厅关于加强城市“口袋公园”建设的通知》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4、2021年省级“三区”科技人才专项经费绩效目标表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1.开拓合作社科技思维，学习引进新型苗木品种</w:t>
            </w:r>
            <w:r>
              <w:tab/>
            </w:r>
            <w:r>
              <w:tab/>
            </w:r>
            <w:r>
              <w:tab/>
            </w:r>
            <w:r>
              <w:tab/>
            </w:r>
            <w:r>
              <w:tab/>
            </w:r>
            <w:r>
              <w:tab/>
            </w:r>
          </w:p>
          <w:p>
            <w:pPr>
              <w:pStyle w:val="26"/>
            </w:pPr>
            <w:r>
              <w:tab/>
            </w:r>
            <w:r>
              <w:tab/>
            </w:r>
            <w:r>
              <w:tab/>
            </w:r>
            <w:r>
              <w:tab/>
            </w:r>
            <w:r>
              <w:tab/>
            </w:r>
            <w:r>
              <w:tab/>
            </w:r>
          </w:p>
          <w:p>
            <w:pPr>
              <w:pStyle w:val="26"/>
            </w:pPr>
          </w:p>
          <w:p>
            <w:pPr>
              <w:pStyle w:val="26"/>
            </w:pPr>
            <w:r>
              <w:t>2.对新引进的苗木品种，进行精细化管理养护</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引进苗木品种数量</w:t>
            </w:r>
          </w:p>
        </w:tc>
        <w:tc>
          <w:tcPr>
            <w:tcW w:w="2835" w:type="dxa"/>
            <w:vAlign w:val="center"/>
          </w:tcPr>
          <w:p>
            <w:pPr>
              <w:pStyle w:val="26"/>
            </w:pPr>
            <w:r>
              <w:t>引进新品种苗木</w:t>
            </w:r>
          </w:p>
        </w:tc>
        <w:tc>
          <w:tcPr>
            <w:tcW w:w="2551" w:type="dxa"/>
            <w:vAlign w:val="center"/>
          </w:tcPr>
          <w:p>
            <w:pPr>
              <w:pStyle w:val="26"/>
            </w:pPr>
            <w:r>
              <w:t>1种</w:t>
            </w:r>
          </w:p>
        </w:tc>
        <w:tc>
          <w:tcPr>
            <w:tcW w:w="2268" w:type="dxa"/>
            <w:vAlign w:val="center"/>
          </w:tcPr>
          <w:p>
            <w:pPr>
              <w:pStyle w:val="26"/>
            </w:pPr>
            <w:r>
              <w:t>苗木清单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新品种苗木成活率</w:t>
            </w:r>
          </w:p>
        </w:tc>
        <w:tc>
          <w:tcPr>
            <w:tcW w:w="2835" w:type="dxa"/>
            <w:vAlign w:val="center"/>
          </w:tcPr>
          <w:p>
            <w:pPr>
              <w:pStyle w:val="26"/>
            </w:pPr>
            <w:r>
              <w:t>保证苗木高成活率</w:t>
            </w:r>
          </w:p>
        </w:tc>
        <w:tc>
          <w:tcPr>
            <w:tcW w:w="2551" w:type="dxa"/>
            <w:vAlign w:val="center"/>
          </w:tcPr>
          <w:p>
            <w:pPr>
              <w:pStyle w:val="26"/>
            </w:pPr>
            <w:r>
              <w:t>≥90%</w:t>
            </w:r>
          </w:p>
        </w:tc>
        <w:tc>
          <w:tcPr>
            <w:tcW w:w="2268" w:type="dxa"/>
            <w:vAlign w:val="center"/>
          </w:tcPr>
          <w:p>
            <w:pPr>
              <w:pStyle w:val="26"/>
            </w:pPr>
            <w:r>
              <w:t>苗木成活统计表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新品种苗木种植时间</w:t>
            </w:r>
          </w:p>
        </w:tc>
        <w:tc>
          <w:tcPr>
            <w:tcW w:w="2835" w:type="dxa"/>
            <w:vAlign w:val="center"/>
          </w:tcPr>
          <w:p>
            <w:pPr>
              <w:pStyle w:val="26"/>
            </w:pPr>
            <w:r>
              <w:t>完成新品种苗木种植的时间</w:t>
            </w:r>
          </w:p>
        </w:tc>
        <w:tc>
          <w:tcPr>
            <w:tcW w:w="2551" w:type="dxa"/>
            <w:vAlign w:val="center"/>
          </w:tcPr>
          <w:p>
            <w:pPr>
              <w:pStyle w:val="26"/>
            </w:pPr>
            <w:r>
              <w:t>12月底之前完成种植</w:t>
            </w:r>
          </w:p>
        </w:tc>
        <w:tc>
          <w:tcPr>
            <w:tcW w:w="2268" w:type="dxa"/>
            <w:vAlign w:val="center"/>
          </w:tcPr>
          <w:p>
            <w:pPr>
              <w:pStyle w:val="26"/>
            </w:pPr>
            <w:r>
              <w:t>苗木清单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成本控制在2万元内</w:t>
            </w:r>
          </w:p>
        </w:tc>
        <w:tc>
          <w:tcPr>
            <w:tcW w:w="2551" w:type="dxa"/>
            <w:vAlign w:val="center"/>
          </w:tcPr>
          <w:p>
            <w:pPr>
              <w:pStyle w:val="26"/>
            </w:pPr>
            <w:r>
              <w:t>成本控制在2万元内</w:t>
            </w:r>
          </w:p>
        </w:tc>
        <w:tc>
          <w:tcPr>
            <w:tcW w:w="2268" w:type="dxa"/>
            <w:vAlign w:val="center"/>
          </w:tcPr>
          <w:p>
            <w:pPr>
              <w:pStyle w:val="26"/>
            </w:pPr>
            <w:r>
              <w:t>苗木结算单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提升合作社社员的种植和养护水平</w:t>
            </w:r>
          </w:p>
        </w:tc>
        <w:tc>
          <w:tcPr>
            <w:tcW w:w="2835" w:type="dxa"/>
            <w:vAlign w:val="center"/>
          </w:tcPr>
          <w:p>
            <w:pPr>
              <w:pStyle w:val="26"/>
            </w:pPr>
            <w:r>
              <w:t>提升合作社社员的种植和养护水平</w:t>
            </w:r>
          </w:p>
        </w:tc>
        <w:tc>
          <w:tcPr>
            <w:tcW w:w="2551" w:type="dxa"/>
            <w:vAlign w:val="center"/>
          </w:tcPr>
          <w:p>
            <w:pPr>
              <w:pStyle w:val="26"/>
            </w:pPr>
            <w:r>
              <w:t>提升合作社社员的种植和养护水平</w:t>
            </w:r>
          </w:p>
        </w:tc>
        <w:tc>
          <w:tcPr>
            <w:tcW w:w="2268" w:type="dxa"/>
            <w:vAlign w:val="center"/>
          </w:tcPr>
          <w:p>
            <w:pPr>
              <w:pStyle w:val="26"/>
            </w:pPr>
            <w:r>
              <w:t>合作社社员的种植和养护水平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合作社社员的满意度</w:t>
            </w:r>
          </w:p>
        </w:tc>
        <w:tc>
          <w:tcPr>
            <w:tcW w:w="2835" w:type="dxa"/>
            <w:vAlign w:val="center"/>
          </w:tcPr>
          <w:p>
            <w:pPr>
              <w:pStyle w:val="26"/>
            </w:pPr>
            <w:r>
              <w:t>合作社社员的满意度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5、2021年市区立体花坛恢复项目尾款绩效目标表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1.支付2021年立体和平面花坛恢复以及换花款项</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改造立体花坛换花次数</w:t>
            </w:r>
          </w:p>
        </w:tc>
        <w:tc>
          <w:tcPr>
            <w:tcW w:w="2835" w:type="dxa"/>
            <w:vAlign w:val="center"/>
          </w:tcPr>
          <w:p>
            <w:pPr>
              <w:pStyle w:val="26"/>
            </w:pPr>
            <w:r>
              <w:t>2021年全年立体花坛换花次数</w:t>
            </w:r>
          </w:p>
        </w:tc>
        <w:tc>
          <w:tcPr>
            <w:tcW w:w="2551" w:type="dxa"/>
            <w:vAlign w:val="center"/>
          </w:tcPr>
          <w:p>
            <w:pPr>
              <w:pStyle w:val="26"/>
            </w:pPr>
            <w:r>
              <w:t>2次</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采购花卉质量达标</w:t>
            </w:r>
          </w:p>
        </w:tc>
        <w:tc>
          <w:tcPr>
            <w:tcW w:w="2835" w:type="dxa"/>
            <w:vAlign w:val="center"/>
          </w:tcPr>
          <w:p>
            <w:pPr>
              <w:pStyle w:val="26"/>
            </w:pPr>
            <w:r>
              <w:t>依据合同规定，采购花卉质量达标，验收合格</w:t>
            </w:r>
          </w:p>
        </w:tc>
        <w:tc>
          <w:tcPr>
            <w:tcW w:w="2551" w:type="dxa"/>
            <w:vAlign w:val="center"/>
          </w:tcPr>
          <w:p>
            <w:pPr>
              <w:pStyle w:val="26"/>
            </w:pPr>
            <w:r>
              <w:t>依据合同规定，采购花卉质量达标，验收合格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按合同约定完成时限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完成改造立体花坛工程支出是否超出预算</w:t>
            </w:r>
          </w:p>
        </w:tc>
        <w:tc>
          <w:tcPr>
            <w:tcW w:w="2551" w:type="dxa"/>
            <w:vAlign w:val="center"/>
          </w:tcPr>
          <w:p>
            <w:pPr>
              <w:pStyle w:val="26"/>
            </w:pPr>
            <w:r>
              <w:t>预算编制的计划数</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提升城市绿化景观，提高市民满意度</w:t>
            </w:r>
          </w:p>
        </w:tc>
        <w:tc>
          <w:tcPr>
            <w:tcW w:w="2551" w:type="dxa"/>
            <w:vAlign w:val="center"/>
          </w:tcPr>
          <w:p>
            <w:pPr>
              <w:pStyle w:val="26"/>
            </w:pPr>
            <w:r>
              <w:t>实行项目全过程的全面质量管理，保证市区花坛改造工程顺利完成，提高市民满意度</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6、2021年中央“三区”科技人才专项资金绩效目标表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1.进行技术指导，组织专业培训，提高合作社种植水平</w:t>
            </w:r>
          </w:p>
          <w:p>
            <w:pPr>
              <w:pStyle w:val="26"/>
            </w:pPr>
            <w:r>
              <w:t>2.巩固拓展脱贫攻坚成果，全面服务地区合作社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技术指导、组织培训次数</w:t>
            </w:r>
          </w:p>
        </w:tc>
        <w:tc>
          <w:tcPr>
            <w:tcW w:w="2835" w:type="dxa"/>
            <w:vAlign w:val="center"/>
          </w:tcPr>
          <w:p>
            <w:pPr>
              <w:pStyle w:val="26"/>
            </w:pPr>
            <w:r>
              <w:t>进行种植技术指导，组织种植及培训次数</w:t>
            </w:r>
          </w:p>
        </w:tc>
        <w:tc>
          <w:tcPr>
            <w:tcW w:w="2551" w:type="dxa"/>
            <w:vAlign w:val="center"/>
          </w:tcPr>
          <w:p>
            <w:pPr>
              <w:pStyle w:val="26"/>
            </w:pPr>
            <w:r>
              <w:t>1次</w:t>
            </w:r>
          </w:p>
        </w:tc>
        <w:tc>
          <w:tcPr>
            <w:tcW w:w="2268" w:type="dxa"/>
            <w:vAlign w:val="center"/>
          </w:tcPr>
          <w:p>
            <w:pPr>
              <w:pStyle w:val="26"/>
            </w:pPr>
            <w:r>
              <w:t>培训通知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培训出勤率</w:t>
            </w:r>
          </w:p>
        </w:tc>
        <w:tc>
          <w:tcPr>
            <w:tcW w:w="2835" w:type="dxa"/>
            <w:vAlign w:val="center"/>
          </w:tcPr>
          <w:p>
            <w:pPr>
              <w:pStyle w:val="26"/>
            </w:pPr>
            <w:r>
              <w:t>培训出勤率</w:t>
            </w:r>
          </w:p>
        </w:tc>
        <w:tc>
          <w:tcPr>
            <w:tcW w:w="2551" w:type="dxa"/>
            <w:vAlign w:val="center"/>
          </w:tcPr>
          <w:p>
            <w:pPr>
              <w:pStyle w:val="26"/>
            </w:pPr>
            <w:r>
              <w:t>≥90%</w:t>
            </w:r>
          </w:p>
        </w:tc>
        <w:tc>
          <w:tcPr>
            <w:tcW w:w="2268" w:type="dxa"/>
            <w:vAlign w:val="center"/>
          </w:tcPr>
          <w:p>
            <w:pPr>
              <w:pStyle w:val="2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进行技术指导、完成培训时间</w:t>
            </w:r>
          </w:p>
        </w:tc>
        <w:tc>
          <w:tcPr>
            <w:tcW w:w="2835" w:type="dxa"/>
            <w:vAlign w:val="center"/>
          </w:tcPr>
          <w:p>
            <w:pPr>
              <w:pStyle w:val="26"/>
            </w:pPr>
            <w:r>
              <w:t>按照技术指导计划、培训通知，准时进行培训</w:t>
            </w:r>
          </w:p>
        </w:tc>
        <w:tc>
          <w:tcPr>
            <w:tcW w:w="2551" w:type="dxa"/>
            <w:vAlign w:val="center"/>
          </w:tcPr>
          <w:p>
            <w:pPr>
              <w:pStyle w:val="26"/>
            </w:pPr>
            <w:r>
              <w:t>按计划和通知的时间进行培训</w:t>
            </w:r>
          </w:p>
        </w:tc>
        <w:tc>
          <w:tcPr>
            <w:tcW w:w="2268" w:type="dxa"/>
            <w:vAlign w:val="center"/>
          </w:tcPr>
          <w:p>
            <w:pPr>
              <w:pStyle w:val="26"/>
            </w:pPr>
            <w:r>
              <w:t>培训通知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成本控制在预算内</w:t>
            </w:r>
          </w:p>
        </w:tc>
        <w:tc>
          <w:tcPr>
            <w:tcW w:w="2551" w:type="dxa"/>
            <w:vAlign w:val="center"/>
          </w:tcPr>
          <w:p>
            <w:pPr>
              <w:pStyle w:val="26"/>
            </w:pPr>
            <w:r>
              <w:t>成本控制在培训计划的预算内</w:t>
            </w:r>
          </w:p>
        </w:tc>
        <w:tc>
          <w:tcPr>
            <w:tcW w:w="2268" w:type="dxa"/>
            <w:vAlign w:val="center"/>
          </w:tcPr>
          <w:p>
            <w:pPr>
              <w:pStyle w:val="2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种植技术</w:t>
            </w:r>
          </w:p>
        </w:tc>
        <w:tc>
          <w:tcPr>
            <w:tcW w:w="2835" w:type="dxa"/>
            <w:vAlign w:val="center"/>
          </w:tcPr>
          <w:p>
            <w:pPr>
              <w:pStyle w:val="26"/>
            </w:pPr>
            <w:r>
              <w:t>提升合作社参训人员的种植水平</w:t>
            </w:r>
          </w:p>
        </w:tc>
        <w:tc>
          <w:tcPr>
            <w:tcW w:w="2551" w:type="dxa"/>
            <w:vAlign w:val="center"/>
          </w:tcPr>
          <w:p>
            <w:pPr>
              <w:pStyle w:val="26"/>
            </w:pPr>
            <w:r>
              <w:t>合作社参训人员的种植技术得到提高</w:t>
            </w:r>
          </w:p>
        </w:tc>
        <w:tc>
          <w:tcPr>
            <w:tcW w:w="2268" w:type="dxa"/>
            <w:vAlign w:val="center"/>
          </w:tcPr>
          <w:p>
            <w:pPr>
              <w:pStyle w:val="26"/>
            </w:pPr>
            <w:r>
              <w:t>种植技术水平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合作社社员满意度</w:t>
            </w:r>
          </w:p>
        </w:tc>
        <w:tc>
          <w:tcPr>
            <w:tcW w:w="2835" w:type="dxa"/>
            <w:vAlign w:val="center"/>
          </w:tcPr>
          <w:p>
            <w:pPr>
              <w:pStyle w:val="26"/>
            </w:pPr>
            <w:r>
              <w:t>合作社社员满意度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7、2022年口袋公园建设项目绩效目标表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1.通过拆违新建、破硬新建、与开发企业共建、道路绿地改造、拆墙透绿提升等多种方式，计划新建一批“口袋公园”</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改造新建口袋公园个数</w:t>
            </w:r>
          </w:p>
        </w:tc>
        <w:tc>
          <w:tcPr>
            <w:tcW w:w="2835" w:type="dxa"/>
            <w:vAlign w:val="center"/>
          </w:tcPr>
          <w:p>
            <w:pPr>
              <w:pStyle w:val="26"/>
            </w:pPr>
            <w:r>
              <w:t>2022年全年改造新建口袋公园个数</w:t>
            </w:r>
          </w:p>
        </w:tc>
        <w:tc>
          <w:tcPr>
            <w:tcW w:w="2551" w:type="dxa"/>
            <w:vAlign w:val="center"/>
          </w:tcPr>
          <w:p>
            <w:pPr>
              <w:pStyle w:val="26"/>
            </w:pPr>
            <w:r>
              <w:t>≥5个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工程质量达标</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工程完成时限</w:t>
            </w:r>
          </w:p>
        </w:tc>
        <w:tc>
          <w:tcPr>
            <w:tcW w:w="2835" w:type="dxa"/>
            <w:vAlign w:val="center"/>
          </w:tcPr>
          <w:p>
            <w:pPr>
              <w:pStyle w:val="26"/>
            </w:pPr>
            <w:r>
              <w:t>按合同约定竣工完成时限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完成口袋公园建设工程支出是否超出预算</w:t>
            </w:r>
          </w:p>
        </w:tc>
        <w:tc>
          <w:tcPr>
            <w:tcW w:w="2551" w:type="dxa"/>
            <w:vAlign w:val="center"/>
          </w:tcPr>
          <w:p>
            <w:pPr>
              <w:pStyle w:val="26"/>
            </w:pPr>
            <w:r>
              <w:t>预算编制的计划数</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优化城市绿地布局，提高市民满意度</w:t>
            </w:r>
          </w:p>
        </w:tc>
        <w:tc>
          <w:tcPr>
            <w:tcW w:w="2551" w:type="dxa"/>
            <w:vAlign w:val="center"/>
          </w:tcPr>
          <w:p>
            <w:pPr>
              <w:pStyle w:val="26"/>
            </w:pPr>
            <w:r>
              <w:t>按照科学化、标准化的要求，保证市区口袋公园建设工作顺利完成，提高市民满意度</w:t>
            </w:r>
          </w:p>
        </w:tc>
        <w:tc>
          <w:tcPr>
            <w:tcW w:w="2268" w:type="dxa"/>
            <w:vAlign w:val="center"/>
          </w:tcPr>
          <w:p>
            <w:pPr>
              <w:pStyle w:val="26"/>
            </w:pPr>
            <w:r>
              <w:t>冀建城管函〔2020〕90号《河北省住房和城乡建设厅关于加强城市“口袋公园”建设的通知》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8、2022年园博园常态运营及管理绩效目标表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1.完成园区基本绿化养护工作，保障园博园基本运营</w:t>
            </w:r>
          </w:p>
          <w:p>
            <w:pPr>
              <w:pStyle w:val="26"/>
            </w:pPr>
            <w:r>
              <w:t>2.提升园内绿化美化水平，满足游客的游园需求</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绿化养护完成率</w:t>
            </w:r>
          </w:p>
        </w:tc>
        <w:tc>
          <w:tcPr>
            <w:tcW w:w="2835" w:type="dxa"/>
            <w:vAlign w:val="center"/>
          </w:tcPr>
          <w:p>
            <w:pPr>
              <w:pStyle w:val="26"/>
            </w:pPr>
            <w:r>
              <w:t>养护面积≥6.2万平方米</w:t>
            </w:r>
          </w:p>
        </w:tc>
        <w:tc>
          <w:tcPr>
            <w:tcW w:w="2551" w:type="dxa"/>
            <w:vAlign w:val="center"/>
          </w:tcPr>
          <w:p>
            <w:pPr>
              <w:pStyle w:val="26"/>
            </w:pPr>
            <w:r>
              <w:t>6.2万平方米</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质量指标</w:t>
            </w:r>
          </w:p>
        </w:tc>
        <w:tc>
          <w:tcPr>
            <w:tcW w:w="2835" w:type="dxa"/>
            <w:vAlign w:val="center"/>
          </w:tcPr>
          <w:p>
            <w:pPr>
              <w:pStyle w:val="26"/>
            </w:pPr>
            <w:r>
              <w:t>园区服务人员服务质量基本达标</w:t>
            </w:r>
          </w:p>
        </w:tc>
        <w:tc>
          <w:tcPr>
            <w:tcW w:w="2551" w:type="dxa"/>
            <w:vAlign w:val="center"/>
          </w:tcPr>
          <w:p>
            <w:pPr>
              <w:pStyle w:val="26"/>
            </w:pPr>
            <w:r>
              <w:t>园区服务人员服务质量基本达标</w:t>
            </w:r>
          </w:p>
        </w:tc>
        <w:tc>
          <w:tcPr>
            <w:tcW w:w="2268" w:type="dxa"/>
            <w:vAlign w:val="center"/>
          </w:tcPr>
          <w:p>
            <w:pPr>
              <w:pStyle w:val="26"/>
            </w:pPr>
            <w: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及时性</w:t>
            </w:r>
          </w:p>
        </w:tc>
        <w:tc>
          <w:tcPr>
            <w:tcW w:w="2835" w:type="dxa"/>
            <w:vAlign w:val="center"/>
          </w:tcPr>
          <w:p>
            <w:pPr>
              <w:pStyle w:val="26"/>
            </w:pPr>
            <w:r>
              <w:t>园区绿化养护工作及时</w:t>
            </w:r>
          </w:p>
        </w:tc>
        <w:tc>
          <w:tcPr>
            <w:tcW w:w="2551" w:type="dxa"/>
            <w:vAlign w:val="center"/>
          </w:tcPr>
          <w:p>
            <w:pPr>
              <w:pStyle w:val="26"/>
            </w:pPr>
            <w:r>
              <w:t>园区绿化养护工作及时</w:t>
            </w:r>
          </w:p>
        </w:tc>
        <w:tc>
          <w:tcPr>
            <w:tcW w:w="2268" w:type="dxa"/>
            <w:vAlign w:val="center"/>
          </w:tcPr>
          <w:p>
            <w:pPr>
              <w:pStyle w:val="26"/>
            </w:pPr>
            <w:r>
              <w:t>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运行保障成本</w:t>
            </w:r>
          </w:p>
        </w:tc>
        <w:tc>
          <w:tcPr>
            <w:tcW w:w="2835" w:type="dxa"/>
            <w:vAlign w:val="center"/>
          </w:tcPr>
          <w:p>
            <w:pPr>
              <w:pStyle w:val="26"/>
            </w:pPr>
            <w:r>
              <w:t>运行保障成本</w:t>
            </w:r>
          </w:p>
        </w:tc>
        <w:tc>
          <w:tcPr>
            <w:tcW w:w="2551" w:type="dxa"/>
            <w:vAlign w:val="center"/>
          </w:tcPr>
          <w:p>
            <w:pPr>
              <w:pStyle w:val="26"/>
            </w:pPr>
            <w:r>
              <w:t>成本控制在预算内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维持园内绿化美化效果，保障园博园正常运用</w:t>
            </w:r>
          </w:p>
        </w:tc>
        <w:tc>
          <w:tcPr>
            <w:tcW w:w="2835" w:type="dxa"/>
            <w:vAlign w:val="center"/>
          </w:tcPr>
          <w:p>
            <w:pPr>
              <w:pStyle w:val="26"/>
            </w:pPr>
            <w:r>
              <w:t>维持园内绿化美化效果，保障园博园正常运用</w:t>
            </w:r>
          </w:p>
        </w:tc>
        <w:tc>
          <w:tcPr>
            <w:tcW w:w="2551" w:type="dxa"/>
            <w:vAlign w:val="center"/>
          </w:tcPr>
          <w:p>
            <w:pPr>
              <w:pStyle w:val="26"/>
            </w:pPr>
            <w:r>
              <w:t>维持园内绿化美化效果，保障园博园正常运用</w:t>
            </w:r>
          </w:p>
        </w:tc>
        <w:tc>
          <w:tcPr>
            <w:tcW w:w="2268" w:type="dxa"/>
            <w:vAlign w:val="center"/>
          </w:tcPr>
          <w:p>
            <w:pPr>
              <w:pStyle w:val="26"/>
            </w:pPr>
            <w:r>
              <w:t>维持园内绿化美化效果，保障园博园正常运用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游客满意度</w:t>
            </w:r>
          </w:p>
        </w:tc>
        <w:tc>
          <w:tcPr>
            <w:tcW w:w="2835" w:type="dxa"/>
            <w:vAlign w:val="center"/>
          </w:tcPr>
          <w:p>
            <w:pPr>
              <w:pStyle w:val="26"/>
            </w:pPr>
            <w:r>
              <w:t>基本满足游客游园需求</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9、2022年中央三区科技人才资金绩效目标表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1.巩固拓展脱贫攻坚成果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印刷宣传图册数量</w:t>
            </w:r>
          </w:p>
        </w:tc>
        <w:tc>
          <w:tcPr>
            <w:tcW w:w="2835" w:type="dxa"/>
            <w:vAlign w:val="center"/>
          </w:tcPr>
          <w:p>
            <w:pPr>
              <w:pStyle w:val="26"/>
            </w:pPr>
            <w:r>
              <w:t>印刷宣传图册数量</w:t>
            </w:r>
          </w:p>
        </w:tc>
        <w:tc>
          <w:tcPr>
            <w:tcW w:w="2551" w:type="dxa"/>
            <w:vAlign w:val="center"/>
          </w:tcPr>
          <w:p>
            <w:pPr>
              <w:pStyle w:val="26"/>
            </w:pPr>
            <w:r>
              <w:t>50本</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图册验收情况</w:t>
            </w:r>
          </w:p>
        </w:tc>
        <w:tc>
          <w:tcPr>
            <w:tcW w:w="2835" w:type="dxa"/>
            <w:vAlign w:val="center"/>
          </w:tcPr>
          <w:p>
            <w:pPr>
              <w:pStyle w:val="26"/>
            </w:pPr>
            <w:r>
              <w:t>图册验收合格，符合宣传要求</w:t>
            </w:r>
          </w:p>
        </w:tc>
        <w:tc>
          <w:tcPr>
            <w:tcW w:w="2551" w:type="dxa"/>
            <w:vAlign w:val="center"/>
          </w:tcPr>
          <w:p>
            <w:pPr>
              <w:pStyle w:val="26"/>
            </w:pPr>
            <w:r>
              <w:t>图册验收合格，符合宣传要求</w:t>
            </w:r>
          </w:p>
        </w:tc>
        <w:tc>
          <w:tcPr>
            <w:tcW w:w="2268" w:type="dxa"/>
            <w:vAlign w:val="center"/>
          </w:tcPr>
          <w:p>
            <w:pPr>
              <w:pStyle w:val="26"/>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印刷完成时间</w:t>
            </w:r>
          </w:p>
        </w:tc>
        <w:tc>
          <w:tcPr>
            <w:tcW w:w="2835" w:type="dxa"/>
            <w:vAlign w:val="center"/>
          </w:tcPr>
          <w:p>
            <w:pPr>
              <w:pStyle w:val="26"/>
            </w:pPr>
            <w:r>
              <w:t>按合同约定的时间完成图册的印刷</w:t>
            </w:r>
          </w:p>
        </w:tc>
        <w:tc>
          <w:tcPr>
            <w:tcW w:w="2551" w:type="dxa"/>
            <w:vAlign w:val="center"/>
          </w:tcPr>
          <w:p>
            <w:pPr>
              <w:pStyle w:val="26"/>
            </w:pPr>
            <w:r>
              <w:t>按合同约定的时间完成图册的印刷</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按合同约定的金额支付</w:t>
            </w:r>
          </w:p>
        </w:tc>
        <w:tc>
          <w:tcPr>
            <w:tcW w:w="2551" w:type="dxa"/>
            <w:vAlign w:val="center"/>
          </w:tcPr>
          <w:p>
            <w:pPr>
              <w:pStyle w:val="26"/>
            </w:pPr>
            <w:r>
              <w:t>按合同约定的金额支付</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宣传植物材料品种及种植技术</w:t>
            </w:r>
          </w:p>
        </w:tc>
        <w:tc>
          <w:tcPr>
            <w:tcW w:w="2835" w:type="dxa"/>
            <w:vAlign w:val="center"/>
          </w:tcPr>
          <w:p>
            <w:pPr>
              <w:pStyle w:val="26"/>
            </w:pPr>
            <w:r>
              <w:t>宣传植物材料品种及种植技术，提高养殖种植技术</w:t>
            </w:r>
          </w:p>
        </w:tc>
        <w:tc>
          <w:tcPr>
            <w:tcW w:w="2551" w:type="dxa"/>
            <w:vAlign w:val="center"/>
          </w:tcPr>
          <w:p>
            <w:pPr>
              <w:pStyle w:val="26"/>
            </w:pPr>
            <w:r>
              <w:t>宣传植物材料品种及种植技术，提高养殖种植技术</w:t>
            </w:r>
          </w:p>
        </w:tc>
        <w:tc>
          <w:tcPr>
            <w:tcW w:w="2268" w:type="dxa"/>
            <w:vAlign w:val="center"/>
          </w:tcPr>
          <w:p>
            <w:pPr>
              <w:pStyle w:val="26"/>
            </w:pPr>
            <w:r>
              <w:t>宣传效果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服务对象满意度指标</w:t>
            </w:r>
          </w:p>
        </w:tc>
        <w:tc>
          <w:tcPr>
            <w:tcW w:w="2835" w:type="dxa"/>
            <w:vAlign w:val="center"/>
          </w:tcPr>
          <w:p>
            <w:pPr>
              <w:pStyle w:val="26"/>
            </w:pPr>
            <w:r>
              <w:t>合作社社员满意度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10、奥体中心公园建设项目绩效目标表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1.按合同进度要求完成奥体中心公园建设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建设绿地面积</w:t>
            </w:r>
          </w:p>
        </w:tc>
        <w:tc>
          <w:tcPr>
            <w:tcW w:w="2835" w:type="dxa"/>
            <w:vAlign w:val="center"/>
          </w:tcPr>
          <w:p>
            <w:pPr>
              <w:pStyle w:val="26"/>
            </w:pPr>
            <w:r>
              <w:t>建设绿地面积达到合同要求</w:t>
            </w:r>
          </w:p>
        </w:tc>
        <w:tc>
          <w:tcPr>
            <w:tcW w:w="2551" w:type="dxa"/>
            <w:vAlign w:val="center"/>
          </w:tcPr>
          <w:p>
            <w:pPr>
              <w:pStyle w:val="26"/>
            </w:pPr>
            <w:r>
              <w:t>≥7公顷</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建设时间</w:t>
            </w:r>
          </w:p>
        </w:tc>
        <w:tc>
          <w:tcPr>
            <w:tcW w:w="2835" w:type="dxa"/>
            <w:vAlign w:val="center"/>
          </w:tcPr>
          <w:p>
            <w:pPr>
              <w:pStyle w:val="26"/>
            </w:pPr>
            <w:r>
              <w:t>按合同进度要求完成建设内容</w:t>
            </w:r>
          </w:p>
        </w:tc>
        <w:tc>
          <w:tcPr>
            <w:tcW w:w="2551" w:type="dxa"/>
            <w:vAlign w:val="center"/>
          </w:tcPr>
          <w:p>
            <w:pPr>
              <w:pStyle w:val="26"/>
            </w:pPr>
            <w:r>
              <w:t>按合同进度要求完成施工任务</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 xml:space="preserve"> 成本控制在合同要求内</w:t>
            </w:r>
          </w:p>
        </w:tc>
        <w:tc>
          <w:tcPr>
            <w:tcW w:w="2551" w:type="dxa"/>
            <w:vAlign w:val="center"/>
          </w:tcPr>
          <w:p>
            <w:pPr>
              <w:pStyle w:val="26"/>
            </w:pPr>
            <w:r>
              <w:t xml:space="preserve"> 成本控制在合同要求内</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建成功能齐全、参与性强、环境优美的城市公共开放空间，提升城市形象和价值</w:t>
            </w:r>
          </w:p>
        </w:tc>
        <w:tc>
          <w:tcPr>
            <w:tcW w:w="2551" w:type="dxa"/>
            <w:vAlign w:val="center"/>
          </w:tcPr>
          <w:p>
            <w:pPr>
              <w:pStyle w:val="26"/>
            </w:pPr>
            <w:r>
              <w:t>建成功能齐全、参与性强、环境优美的城市公共开放空间，提升城市形象和价值</w:t>
            </w:r>
          </w:p>
        </w:tc>
        <w:tc>
          <w:tcPr>
            <w:tcW w:w="2268" w:type="dxa"/>
            <w:vAlign w:val="center"/>
          </w:tcPr>
          <w:p>
            <w:pPr>
              <w:pStyle w:val="26"/>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11、北外环绿化租地绩效目标表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1.保持城市绿化覆盖率</w:t>
            </w:r>
          </w:p>
          <w:p>
            <w:pPr>
              <w:pStyle w:val="26"/>
            </w:pPr>
            <w:r>
              <w:t>2.如期支付绿化租地费，保持绿地面积</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合同签订数量</w:t>
            </w:r>
          </w:p>
        </w:tc>
        <w:tc>
          <w:tcPr>
            <w:tcW w:w="2835" w:type="dxa"/>
            <w:vAlign w:val="center"/>
          </w:tcPr>
          <w:p>
            <w:pPr>
              <w:pStyle w:val="26"/>
            </w:pPr>
            <w:r>
              <w:t>合同数量完成度</w:t>
            </w:r>
          </w:p>
        </w:tc>
        <w:tc>
          <w:tcPr>
            <w:tcW w:w="2551" w:type="dxa"/>
            <w:vAlign w:val="center"/>
          </w:tcPr>
          <w:p>
            <w:pPr>
              <w:pStyle w:val="26"/>
            </w:pPr>
            <w:r>
              <w:t>1份</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绿化完成率</w:t>
            </w:r>
          </w:p>
        </w:tc>
        <w:tc>
          <w:tcPr>
            <w:tcW w:w="2835" w:type="dxa"/>
            <w:vAlign w:val="center"/>
          </w:tcPr>
          <w:p>
            <w:pPr>
              <w:pStyle w:val="26"/>
            </w:pPr>
            <w:r>
              <w:t>与效果图契合度</w:t>
            </w:r>
          </w:p>
        </w:tc>
        <w:tc>
          <w:tcPr>
            <w:tcW w:w="2551" w:type="dxa"/>
            <w:vAlign w:val="center"/>
          </w:tcPr>
          <w:p>
            <w:pPr>
              <w:pStyle w:val="26"/>
            </w:pPr>
            <w:r>
              <w:t>≥98%</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完成进度</w:t>
            </w:r>
          </w:p>
        </w:tc>
        <w:tc>
          <w:tcPr>
            <w:tcW w:w="2835" w:type="dxa"/>
            <w:vAlign w:val="center"/>
          </w:tcPr>
          <w:p>
            <w:pPr>
              <w:pStyle w:val="26"/>
            </w:pPr>
            <w:r>
              <w:t>按合同约定支付租金</w:t>
            </w:r>
          </w:p>
        </w:tc>
        <w:tc>
          <w:tcPr>
            <w:tcW w:w="2551" w:type="dxa"/>
            <w:vAlign w:val="center"/>
          </w:tcPr>
          <w:p>
            <w:pPr>
              <w:pStyle w:val="26"/>
            </w:pPr>
            <w:r>
              <w:t>按合同时间支付租金</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租赁费</w:t>
            </w:r>
          </w:p>
        </w:tc>
        <w:tc>
          <w:tcPr>
            <w:tcW w:w="2835" w:type="dxa"/>
            <w:vAlign w:val="center"/>
          </w:tcPr>
          <w:p>
            <w:pPr>
              <w:pStyle w:val="26"/>
            </w:pPr>
            <w:r>
              <w:t>按合同约定的租金数</w:t>
            </w:r>
          </w:p>
        </w:tc>
        <w:tc>
          <w:tcPr>
            <w:tcW w:w="2551" w:type="dxa"/>
            <w:vAlign w:val="center"/>
          </w:tcPr>
          <w:p>
            <w:pPr>
              <w:pStyle w:val="26"/>
            </w:pPr>
            <w:r>
              <w:t>10.99万元</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提升绿化景观</w:t>
            </w:r>
          </w:p>
        </w:tc>
        <w:tc>
          <w:tcPr>
            <w:tcW w:w="2835" w:type="dxa"/>
            <w:vAlign w:val="center"/>
          </w:tcPr>
          <w:p>
            <w:pPr>
              <w:pStyle w:val="26"/>
            </w:pPr>
            <w:r>
              <w:t>保持绿化面积不减少，提升衡水绿化景观</w:t>
            </w:r>
          </w:p>
        </w:tc>
        <w:tc>
          <w:tcPr>
            <w:tcW w:w="2551" w:type="dxa"/>
            <w:vAlign w:val="center"/>
          </w:tcPr>
          <w:p>
            <w:pPr>
              <w:pStyle w:val="26"/>
            </w:pPr>
            <w:r>
              <w:t>保持绿化面积不减少，提升衡水绿化景观</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市民对绿化效果的满意度调查</w:t>
            </w:r>
          </w:p>
        </w:tc>
        <w:tc>
          <w:tcPr>
            <w:tcW w:w="2551" w:type="dxa"/>
            <w:vAlign w:val="center"/>
          </w:tcPr>
          <w:p>
            <w:pPr>
              <w:pStyle w:val="26"/>
            </w:pPr>
            <w:r>
              <w:t>≥90%</w:t>
            </w:r>
          </w:p>
        </w:tc>
        <w:tc>
          <w:tcPr>
            <w:tcW w:w="2268" w:type="dxa"/>
            <w:vAlign w:val="center"/>
          </w:tcPr>
          <w:p>
            <w:pPr>
              <w:pStyle w:val="26"/>
            </w:pPr>
            <w:r>
              <w:t>满意度调查问卷</w:t>
            </w:r>
          </w:p>
        </w:tc>
      </w:tr>
    </w:tbl>
    <w:p>
      <w:pPr>
        <w:pStyle w:val="24"/>
      </w:pPr>
    </w:p>
    <w:p>
      <w:pPr>
        <w:pStyle w:val="24"/>
        <w:ind w:firstLine="560"/>
      </w:pPr>
      <w:r>
        <w:rPr>
          <w:rFonts w:ascii="方正仿宋_GBK" w:hAnsi="方正仿宋_GBK" w:eastAsia="方正仿宋_GBK" w:cs="方正仿宋_GBK"/>
          <w:b/>
          <w:color w:val="000000"/>
          <w:sz w:val="28"/>
        </w:rPr>
        <w:t>12、创建国家园林城市工作经费绩效目标表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1.做好创园工作技术报告片制作及创园资料汇编，确保创园资料完整性</w:t>
            </w:r>
          </w:p>
          <w:p>
            <w:pPr>
              <w:pStyle w:val="26"/>
            </w:pPr>
            <w:r>
              <w:t>2.做好创园前期准备工作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技术报告片</w:t>
            </w:r>
          </w:p>
        </w:tc>
        <w:tc>
          <w:tcPr>
            <w:tcW w:w="2835" w:type="dxa"/>
            <w:vAlign w:val="center"/>
          </w:tcPr>
          <w:p>
            <w:pPr>
              <w:pStyle w:val="26"/>
            </w:pPr>
            <w:r>
              <w:t>创园工作申报资料要求提供技术报告片个数</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成本控制在预算额度内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国家园林城市标准</w:t>
            </w:r>
          </w:p>
        </w:tc>
        <w:tc>
          <w:tcPr>
            <w:tcW w:w="2835" w:type="dxa"/>
            <w:vAlign w:val="center"/>
          </w:tcPr>
          <w:p>
            <w:pPr>
              <w:pStyle w:val="26"/>
            </w:pPr>
            <w:r>
              <w:t>相关资料达到国家园林城市标准</w:t>
            </w:r>
          </w:p>
        </w:tc>
        <w:tc>
          <w:tcPr>
            <w:tcW w:w="2551" w:type="dxa"/>
            <w:vAlign w:val="center"/>
          </w:tcPr>
          <w:p>
            <w:pPr>
              <w:pStyle w:val="26"/>
            </w:pPr>
            <w:r>
              <w:t>准备的资料达到国家园林城市标准</w:t>
            </w:r>
          </w:p>
        </w:tc>
        <w:tc>
          <w:tcPr>
            <w:tcW w:w="2268" w:type="dxa"/>
            <w:vAlign w:val="center"/>
          </w:tcPr>
          <w:p>
            <w:pPr>
              <w:pStyle w:val="26"/>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及时性</w:t>
            </w:r>
          </w:p>
        </w:tc>
        <w:tc>
          <w:tcPr>
            <w:tcW w:w="2835" w:type="dxa"/>
            <w:vAlign w:val="center"/>
          </w:tcPr>
          <w:p>
            <w:pPr>
              <w:pStyle w:val="26"/>
            </w:pPr>
            <w:r>
              <w:t>及时性</w:t>
            </w:r>
          </w:p>
        </w:tc>
        <w:tc>
          <w:tcPr>
            <w:tcW w:w="2551" w:type="dxa"/>
            <w:vAlign w:val="center"/>
          </w:tcPr>
          <w:p>
            <w:pPr>
              <w:pStyle w:val="26"/>
            </w:pPr>
            <w:r>
              <w:t>按照要求时限完成</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w:t>
            </w:r>
          </w:p>
        </w:tc>
        <w:tc>
          <w:tcPr>
            <w:tcW w:w="2835" w:type="dxa"/>
            <w:vAlign w:val="center"/>
          </w:tcPr>
          <w:p>
            <w:pPr>
              <w:pStyle w:val="26"/>
            </w:pPr>
            <w:r>
              <w:t>项目持续发挥作用</w:t>
            </w:r>
          </w:p>
        </w:tc>
        <w:tc>
          <w:tcPr>
            <w:tcW w:w="2551" w:type="dxa"/>
            <w:vAlign w:val="center"/>
          </w:tcPr>
          <w:p>
            <w:pPr>
              <w:pStyle w:val="26"/>
            </w:pPr>
            <w:r>
              <w:t>创建国家园林城市验收前持续发生作用</w:t>
            </w:r>
          </w:p>
        </w:tc>
        <w:tc>
          <w:tcPr>
            <w:tcW w:w="2268" w:type="dxa"/>
            <w:vAlign w:val="center"/>
          </w:tcPr>
          <w:p>
            <w:pPr>
              <w:pStyle w:val="26"/>
            </w:pPr>
            <w:r>
              <w:t>创园工作成效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13、法律顾问及“双控”机制建设等绩效目标表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1.聘请法律顾问，推进法治政府建设工作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机构数量</w:t>
            </w:r>
          </w:p>
        </w:tc>
        <w:tc>
          <w:tcPr>
            <w:tcW w:w="2835" w:type="dxa"/>
            <w:vAlign w:val="center"/>
          </w:tcPr>
          <w:p>
            <w:pPr>
              <w:pStyle w:val="26"/>
            </w:pPr>
            <w:r>
              <w:t>聘请法律顾问机构数量</w:t>
            </w:r>
          </w:p>
        </w:tc>
        <w:tc>
          <w:tcPr>
            <w:tcW w:w="2551" w:type="dxa"/>
            <w:vAlign w:val="center"/>
          </w:tcPr>
          <w:p>
            <w:pPr>
              <w:pStyle w:val="26"/>
            </w:pPr>
            <w:r>
              <w:t>1家</w:t>
            </w:r>
          </w:p>
        </w:tc>
        <w:tc>
          <w:tcPr>
            <w:tcW w:w="2268" w:type="dxa"/>
            <w:vAlign w:val="center"/>
          </w:tcPr>
          <w:p>
            <w:pPr>
              <w:pStyle w:val="26"/>
            </w:pPr>
            <w:r>
              <w:t>聘请数量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满足工作要求</w:t>
            </w:r>
          </w:p>
        </w:tc>
        <w:tc>
          <w:tcPr>
            <w:tcW w:w="2835" w:type="dxa"/>
            <w:vAlign w:val="center"/>
          </w:tcPr>
          <w:p>
            <w:pPr>
              <w:pStyle w:val="26"/>
            </w:pPr>
            <w:r>
              <w:t>聘请的法律顾问机构能够满足相关工作要求</w:t>
            </w:r>
          </w:p>
        </w:tc>
        <w:tc>
          <w:tcPr>
            <w:tcW w:w="2551" w:type="dxa"/>
            <w:vAlign w:val="center"/>
          </w:tcPr>
          <w:p>
            <w:pPr>
              <w:pStyle w:val="26"/>
            </w:pPr>
            <w:r>
              <w:t>聘请的法律顾问机构能够满足相关工作要求，保证工作得以顺利进行</w:t>
            </w:r>
          </w:p>
        </w:tc>
        <w:tc>
          <w:tcPr>
            <w:tcW w:w="2268" w:type="dxa"/>
            <w:vAlign w:val="center"/>
          </w:tcPr>
          <w:p>
            <w:pPr>
              <w:pStyle w:val="2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服务期限</w:t>
            </w:r>
          </w:p>
        </w:tc>
        <w:tc>
          <w:tcPr>
            <w:tcW w:w="2835" w:type="dxa"/>
            <w:vAlign w:val="center"/>
          </w:tcPr>
          <w:p>
            <w:pPr>
              <w:pStyle w:val="26"/>
            </w:pPr>
            <w:r>
              <w:t>按合同要求的服务期限</w:t>
            </w:r>
          </w:p>
        </w:tc>
        <w:tc>
          <w:tcPr>
            <w:tcW w:w="2551" w:type="dxa"/>
            <w:vAlign w:val="center"/>
          </w:tcPr>
          <w:p>
            <w:pPr>
              <w:pStyle w:val="26"/>
            </w:pPr>
            <w:r>
              <w:t>1年</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服务费用</w:t>
            </w:r>
          </w:p>
        </w:tc>
        <w:tc>
          <w:tcPr>
            <w:tcW w:w="2835" w:type="dxa"/>
            <w:vAlign w:val="center"/>
          </w:tcPr>
          <w:p>
            <w:pPr>
              <w:pStyle w:val="26"/>
            </w:pPr>
            <w:r>
              <w:t>按合同要求的服务费用</w:t>
            </w:r>
          </w:p>
        </w:tc>
        <w:tc>
          <w:tcPr>
            <w:tcW w:w="2551" w:type="dxa"/>
            <w:vAlign w:val="center"/>
          </w:tcPr>
          <w:p>
            <w:pPr>
              <w:pStyle w:val="26"/>
            </w:pPr>
            <w:r>
              <w:t>按照合同要求，支付服务费用，保证服务质量</w:t>
            </w:r>
          </w:p>
          <w:p>
            <w:pPr>
              <w:pStyle w:val="26"/>
            </w:pPr>
          </w:p>
          <w:p>
            <w:pPr>
              <w:pStyle w:val="26"/>
            </w:pP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保障工作顺利开展</w:t>
            </w:r>
          </w:p>
        </w:tc>
        <w:tc>
          <w:tcPr>
            <w:tcW w:w="2835" w:type="dxa"/>
            <w:vAlign w:val="center"/>
          </w:tcPr>
          <w:p>
            <w:pPr>
              <w:pStyle w:val="26"/>
            </w:pPr>
            <w:r>
              <w:t>保障工作顺利开展</w:t>
            </w:r>
          </w:p>
        </w:tc>
        <w:tc>
          <w:tcPr>
            <w:tcW w:w="2551" w:type="dxa"/>
            <w:vAlign w:val="center"/>
          </w:tcPr>
          <w:p>
            <w:pPr>
              <w:pStyle w:val="26"/>
            </w:pPr>
            <w:r>
              <w:t>保障各项工作顺利开展</w:t>
            </w:r>
          </w:p>
          <w:p>
            <w:pPr>
              <w:pStyle w:val="26"/>
            </w:pPr>
          </w:p>
          <w:p>
            <w:pPr>
              <w:pStyle w:val="26"/>
            </w:pPr>
          </w:p>
        </w:tc>
        <w:tc>
          <w:tcPr>
            <w:tcW w:w="2268" w:type="dxa"/>
            <w:vAlign w:val="center"/>
          </w:tcPr>
          <w:p>
            <w:pPr>
              <w:pStyle w:val="26"/>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职工满意度</w:t>
            </w:r>
          </w:p>
        </w:tc>
        <w:tc>
          <w:tcPr>
            <w:tcW w:w="2835" w:type="dxa"/>
            <w:vAlign w:val="center"/>
          </w:tcPr>
          <w:p>
            <w:pPr>
              <w:pStyle w:val="26"/>
            </w:pPr>
            <w:r>
              <w:t>职工满意度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14、河北省第六届园博会（沧州）衡水园建设项目绩效目标表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1.如期完工验收，保证园博会顺利开园</w:t>
            </w:r>
          </w:p>
          <w:p>
            <w:pPr>
              <w:pStyle w:val="26"/>
            </w:pPr>
            <w:r>
              <w:t>2.提高衡水知名度</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时效指标</w:t>
            </w:r>
          </w:p>
        </w:tc>
        <w:tc>
          <w:tcPr>
            <w:tcW w:w="2835" w:type="dxa"/>
            <w:vAlign w:val="center"/>
          </w:tcPr>
          <w:p>
            <w:pPr>
              <w:pStyle w:val="26"/>
            </w:pPr>
            <w:r>
              <w:t>完工时间</w:t>
            </w:r>
          </w:p>
        </w:tc>
        <w:tc>
          <w:tcPr>
            <w:tcW w:w="2835" w:type="dxa"/>
            <w:vAlign w:val="center"/>
          </w:tcPr>
          <w:p>
            <w:pPr>
              <w:pStyle w:val="26"/>
            </w:pPr>
            <w:r>
              <w:t>在合同期限内完工，保证园博会正常开园</w:t>
            </w:r>
          </w:p>
        </w:tc>
        <w:tc>
          <w:tcPr>
            <w:tcW w:w="2551" w:type="dxa"/>
            <w:vAlign w:val="center"/>
          </w:tcPr>
          <w:p>
            <w:pPr>
              <w:pStyle w:val="26"/>
            </w:pPr>
            <w:r>
              <w:t>按时完工，保证准时开园</w:t>
            </w:r>
          </w:p>
        </w:tc>
        <w:tc>
          <w:tcPr>
            <w:tcW w:w="2268" w:type="dxa"/>
            <w:vAlign w:val="center"/>
          </w:tcPr>
          <w:p>
            <w:pPr>
              <w:pStyle w:val="26"/>
            </w:pPr>
            <w:r>
              <w:t>省园博会要求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w:t>
            </w:r>
          </w:p>
        </w:tc>
        <w:tc>
          <w:tcPr>
            <w:tcW w:w="2835" w:type="dxa"/>
            <w:vAlign w:val="center"/>
          </w:tcPr>
          <w:p>
            <w:pPr>
              <w:pStyle w:val="26"/>
            </w:pPr>
            <w:r>
              <w:t>按照合同要求施工，初验合格</w:t>
            </w:r>
          </w:p>
        </w:tc>
        <w:tc>
          <w:tcPr>
            <w:tcW w:w="2551" w:type="dxa"/>
            <w:vAlign w:val="center"/>
          </w:tcPr>
          <w:p>
            <w:pPr>
              <w:pStyle w:val="26"/>
            </w:pPr>
            <w:r>
              <w:t>100％</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建设衡水展园</w:t>
            </w:r>
          </w:p>
        </w:tc>
        <w:tc>
          <w:tcPr>
            <w:tcW w:w="2835" w:type="dxa"/>
            <w:vAlign w:val="center"/>
          </w:tcPr>
          <w:p>
            <w:pPr>
              <w:pStyle w:val="26"/>
            </w:pPr>
            <w:r>
              <w:t>建设河北省第六届园博会衡水园</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成本控制在合同内</w:t>
            </w:r>
          </w:p>
        </w:tc>
        <w:tc>
          <w:tcPr>
            <w:tcW w:w="2551" w:type="dxa"/>
            <w:vAlign w:val="center"/>
          </w:tcPr>
          <w:p>
            <w:pPr>
              <w:pStyle w:val="26"/>
            </w:pPr>
            <w:r>
              <w:t>成本控制在合同约定范围内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提升我市城市形象及竞争力</w:t>
            </w:r>
          </w:p>
        </w:tc>
        <w:tc>
          <w:tcPr>
            <w:tcW w:w="2835" w:type="dxa"/>
            <w:vAlign w:val="center"/>
          </w:tcPr>
          <w:p>
            <w:pPr>
              <w:pStyle w:val="26"/>
            </w:pPr>
            <w:r>
              <w:t>深入挖掘城市人文、生态资源，提升我市城市形象</w:t>
            </w:r>
          </w:p>
        </w:tc>
        <w:tc>
          <w:tcPr>
            <w:tcW w:w="2551" w:type="dxa"/>
            <w:vAlign w:val="center"/>
          </w:tcPr>
          <w:p>
            <w:pPr>
              <w:pStyle w:val="26"/>
            </w:pPr>
            <w:r>
              <w:t>完成建设任务，提升衡水形象</w:t>
            </w:r>
          </w:p>
        </w:tc>
        <w:tc>
          <w:tcPr>
            <w:tcW w:w="2268" w:type="dxa"/>
            <w:vAlign w:val="center"/>
          </w:tcPr>
          <w:p>
            <w:pPr>
              <w:pStyle w:val="26"/>
            </w:pPr>
            <w:r>
              <w:t>展园情况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长期使用性</w:t>
            </w:r>
          </w:p>
        </w:tc>
        <w:tc>
          <w:tcPr>
            <w:tcW w:w="2835" w:type="dxa"/>
            <w:vAlign w:val="center"/>
          </w:tcPr>
          <w:p>
            <w:pPr>
              <w:pStyle w:val="26"/>
            </w:pPr>
            <w:r>
              <w:t>为城市带来显著的经济效益和深远的社会影响</w:t>
            </w:r>
          </w:p>
        </w:tc>
        <w:tc>
          <w:tcPr>
            <w:tcW w:w="2551" w:type="dxa"/>
            <w:vAlign w:val="center"/>
          </w:tcPr>
          <w:p>
            <w:pPr>
              <w:pStyle w:val="26"/>
            </w:pPr>
            <w:r>
              <w:t>持续满足人们对绿化的需求</w:t>
            </w:r>
          </w:p>
        </w:tc>
        <w:tc>
          <w:tcPr>
            <w:tcW w:w="2268" w:type="dxa"/>
            <w:vAlign w:val="center"/>
          </w:tcPr>
          <w:p>
            <w:pPr>
              <w:pStyle w:val="26"/>
            </w:pPr>
            <w:r>
              <w:t>满足精神需求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满意度评价</w:t>
            </w:r>
          </w:p>
        </w:tc>
      </w:tr>
    </w:tbl>
    <w:p>
      <w:pPr>
        <w:pStyle w:val="24"/>
      </w:pPr>
    </w:p>
    <w:p>
      <w:pPr>
        <w:pStyle w:val="24"/>
        <w:ind w:firstLine="560"/>
      </w:pPr>
      <w:r>
        <w:rPr>
          <w:rFonts w:ascii="方正仿宋_GBK" w:hAnsi="方正仿宋_GBK" w:eastAsia="方正仿宋_GBK" w:cs="方正仿宋_GBK"/>
          <w:b/>
          <w:color w:val="000000"/>
          <w:sz w:val="28"/>
        </w:rPr>
        <w:t>15、衡水市绿地系统规划尾款绩效目标表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1.完成衡水市区绿地规划编修工作，提升衡水绿地规划水平</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规划文本数量</w:t>
            </w:r>
          </w:p>
        </w:tc>
        <w:tc>
          <w:tcPr>
            <w:tcW w:w="2835" w:type="dxa"/>
            <w:vAlign w:val="center"/>
          </w:tcPr>
          <w:p>
            <w:pPr>
              <w:pStyle w:val="26"/>
            </w:pPr>
            <w:r>
              <w:t>按要求提供规定数量的规划文本、图纸等</w:t>
            </w:r>
          </w:p>
        </w:tc>
        <w:tc>
          <w:tcPr>
            <w:tcW w:w="2551" w:type="dxa"/>
            <w:vAlign w:val="center"/>
          </w:tcPr>
          <w:p>
            <w:pPr>
              <w:pStyle w:val="26"/>
            </w:pPr>
            <w:r>
              <w:t>10套</w:t>
            </w:r>
          </w:p>
        </w:tc>
        <w:tc>
          <w:tcPr>
            <w:tcW w:w="2268" w:type="dxa"/>
            <w:vAlign w:val="center"/>
          </w:tcPr>
          <w:p>
            <w:pPr>
              <w:pStyle w:val="26"/>
            </w:pPr>
            <w:r>
              <w:t>规划覆盖面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绿地规划合理合规</w:t>
            </w:r>
          </w:p>
        </w:tc>
        <w:tc>
          <w:tcPr>
            <w:tcW w:w="2835" w:type="dxa"/>
            <w:vAlign w:val="center"/>
          </w:tcPr>
          <w:p>
            <w:pPr>
              <w:pStyle w:val="26"/>
            </w:pPr>
            <w:r>
              <w:t>按照《城市绿地规划标准》提供资料并通过专家评审验收</w:t>
            </w:r>
          </w:p>
        </w:tc>
        <w:tc>
          <w:tcPr>
            <w:tcW w:w="2551" w:type="dxa"/>
            <w:vAlign w:val="center"/>
          </w:tcPr>
          <w:p>
            <w:pPr>
              <w:pStyle w:val="26"/>
            </w:pPr>
            <w:r>
              <w:t>100％</w:t>
            </w:r>
          </w:p>
        </w:tc>
        <w:tc>
          <w:tcPr>
            <w:tcW w:w="2268" w:type="dxa"/>
            <w:vAlign w:val="center"/>
          </w:tcPr>
          <w:p>
            <w:pPr>
              <w:pStyle w:val="26"/>
            </w:pPr>
            <w:r>
              <w:t>指标是否合理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合同约定时限</w:t>
            </w:r>
          </w:p>
        </w:tc>
        <w:tc>
          <w:tcPr>
            <w:tcW w:w="2835" w:type="dxa"/>
            <w:vAlign w:val="center"/>
          </w:tcPr>
          <w:p>
            <w:pPr>
              <w:pStyle w:val="26"/>
            </w:pPr>
            <w:r>
              <w:t>反应绿规编制完成的及时性</w:t>
            </w:r>
          </w:p>
        </w:tc>
        <w:tc>
          <w:tcPr>
            <w:tcW w:w="2551" w:type="dxa"/>
            <w:vAlign w:val="center"/>
          </w:tcPr>
          <w:p>
            <w:pPr>
              <w:pStyle w:val="26"/>
            </w:pPr>
            <w:r>
              <w:t>根据合同月订及时完成编制工作</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成本控制在合同内</w:t>
            </w:r>
          </w:p>
        </w:tc>
        <w:tc>
          <w:tcPr>
            <w:tcW w:w="2551" w:type="dxa"/>
            <w:vAlign w:val="center"/>
          </w:tcPr>
          <w:p>
            <w:pPr>
              <w:pStyle w:val="26"/>
            </w:pPr>
            <w:r>
              <w:t>100％</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加强对我市各类绿地规划建设的指导</w:t>
            </w:r>
          </w:p>
        </w:tc>
        <w:tc>
          <w:tcPr>
            <w:tcW w:w="2551" w:type="dxa"/>
            <w:vAlign w:val="center"/>
          </w:tcPr>
          <w:p>
            <w:pPr>
              <w:pStyle w:val="26"/>
            </w:pPr>
            <w:r>
              <w:t>完成对市区的系统规划</w:t>
            </w:r>
          </w:p>
        </w:tc>
        <w:tc>
          <w:tcPr>
            <w:tcW w:w="2268" w:type="dxa"/>
            <w:vAlign w:val="center"/>
          </w:tcPr>
          <w:p>
            <w:pPr>
              <w:pStyle w:val="26"/>
            </w:pPr>
            <w:r>
              <w:t>绿化景观提升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落实绿化事业发展</w:t>
            </w:r>
          </w:p>
        </w:tc>
        <w:tc>
          <w:tcPr>
            <w:tcW w:w="2835" w:type="dxa"/>
            <w:vAlign w:val="center"/>
          </w:tcPr>
          <w:p>
            <w:pPr>
              <w:pStyle w:val="26"/>
            </w:pPr>
            <w:r>
              <w:t>贯彻落实科学发展观，加快园林绿化事业发展</w:t>
            </w:r>
          </w:p>
        </w:tc>
        <w:tc>
          <w:tcPr>
            <w:tcW w:w="2551" w:type="dxa"/>
            <w:vAlign w:val="center"/>
          </w:tcPr>
          <w:p>
            <w:pPr>
              <w:pStyle w:val="26"/>
            </w:pPr>
            <w:r>
              <w:t>持续影响市区绿地规划</w:t>
            </w:r>
          </w:p>
        </w:tc>
        <w:tc>
          <w:tcPr>
            <w:tcW w:w="2268" w:type="dxa"/>
            <w:vAlign w:val="center"/>
          </w:tcPr>
          <w:p>
            <w:pPr>
              <w:pStyle w:val="26"/>
            </w:pPr>
            <w:r>
              <w:t>落实绿化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满意度评价</w:t>
            </w:r>
          </w:p>
        </w:tc>
      </w:tr>
    </w:tbl>
    <w:p>
      <w:pPr>
        <w:pStyle w:val="24"/>
      </w:pPr>
    </w:p>
    <w:p>
      <w:pPr>
        <w:pStyle w:val="24"/>
        <w:ind w:firstLine="560"/>
      </w:pPr>
      <w:r>
        <w:rPr>
          <w:rFonts w:ascii="方正仿宋_GBK" w:hAnsi="方正仿宋_GBK" w:eastAsia="方正仿宋_GBK" w:cs="方正仿宋_GBK"/>
          <w:b/>
          <w:color w:val="000000"/>
          <w:sz w:val="28"/>
        </w:rPr>
        <w:t>16、节假日、马拉松街道绿化美化绩效目标表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1.满足节假日、马拉松期间市区绿化美化要求</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草花摆放量</w:t>
            </w:r>
          </w:p>
        </w:tc>
        <w:tc>
          <w:tcPr>
            <w:tcW w:w="2835" w:type="dxa"/>
            <w:vAlign w:val="center"/>
          </w:tcPr>
          <w:p>
            <w:pPr>
              <w:pStyle w:val="26"/>
            </w:pPr>
            <w:r>
              <w:t>节假日、马拉松期间摆放草花的数量</w:t>
            </w:r>
          </w:p>
        </w:tc>
        <w:tc>
          <w:tcPr>
            <w:tcW w:w="2551" w:type="dxa"/>
            <w:vAlign w:val="center"/>
          </w:tcPr>
          <w:p>
            <w:pPr>
              <w:pStyle w:val="26"/>
            </w:pPr>
            <w:r>
              <w:t>≥10万盆</w:t>
            </w:r>
          </w:p>
        </w:tc>
        <w:tc>
          <w:tcPr>
            <w:tcW w:w="2268" w:type="dxa"/>
            <w:vAlign w:val="center"/>
          </w:tcPr>
          <w:p>
            <w:pPr>
              <w:pStyle w:val="26"/>
            </w:pPr>
            <w:r>
              <w:t>采购及验收情况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品种规格</w:t>
            </w:r>
          </w:p>
        </w:tc>
        <w:tc>
          <w:tcPr>
            <w:tcW w:w="2835" w:type="dxa"/>
            <w:vAlign w:val="center"/>
          </w:tcPr>
          <w:p>
            <w:pPr>
              <w:pStyle w:val="26"/>
            </w:pPr>
            <w:r>
              <w:t>按合同要求的品种规格进行草花采购</w:t>
            </w:r>
          </w:p>
        </w:tc>
        <w:tc>
          <w:tcPr>
            <w:tcW w:w="2551" w:type="dxa"/>
            <w:vAlign w:val="center"/>
          </w:tcPr>
          <w:p>
            <w:pPr>
              <w:pStyle w:val="26"/>
            </w:pPr>
            <w:r>
              <w:t>按合同要求的品种规格进行花卉采购，保障花坛摆放效果</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采购完成时间</w:t>
            </w:r>
          </w:p>
        </w:tc>
        <w:tc>
          <w:tcPr>
            <w:tcW w:w="2835" w:type="dxa"/>
            <w:vAlign w:val="center"/>
          </w:tcPr>
          <w:p>
            <w:pPr>
              <w:pStyle w:val="26"/>
            </w:pPr>
            <w:r>
              <w:t>按合同要求，在规定期限内完成采购</w:t>
            </w:r>
          </w:p>
        </w:tc>
        <w:tc>
          <w:tcPr>
            <w:tcW w:w="2551" w:type="dxa"/>
            <w:vAlign w:val="center"/>
          </w:tcPr>
          <w:p>
            <w:pPr>
              <w:pStyle w:val="26"/>
            </w:pPr>
            <w:r>
              <w:t>按合同约定期限完成采购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采购价格</w:t>
            </w:r>
          </w:p>
        </w:tc>
        <w:tc>
          <w:tcPr>
            <w:tcW w:w="2835" w:type="dxa"/>
            <w:vAlign w:val="center"/>
          </w:tcPr>
          <w:p>
            <w:pPr>
              <w:pStyle w:val="26"/>
            </w:pPr>
            <w:r>
              <w:t>合同约定的采购价格</w:t>
            </w:r>
          </w:p>
        </w:tc>
        <w:tc>
          <w:tcPr>
            <w:tcW w:w="2551" w:type="dxa"/>
            <w:vAlign w:val="center"/>
          </w:tcPr>
          <w:p>
            <w:pPr>
              <w:pStyle w:val="26"/>
            </w:pPr>
            <w:r>
              <w:t>按合同约定期限完成采购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绿化美化效果</w:t>
            </w:r>
          </w:p>
        </w:tc>
        <w:tc>
          <w:tcPr>
            <w:tcW w:w="2835" w:type="dxa"/>
            <w:vAlign w:val="center"/>
          </w:tcPr>
          <w:p>
            <w:pPr>
              <w:pStyle w:val="26"/>
            </w:pPr>
            <w:r>
              <w:t>提升节假日、马拉松期间绿化美化效果，提高城市形象</w:t>
            </w:r>
          </w:p>
        </w:tc>
        <w:tc>
          <w:tcPr>
            <w:tcW w:w="2551" w:type="dxa"/>
            <w:vAlign w:val="center"/>
          </w:tcPr>
          <w:p>
            <w:pPr>
              <w:pStyle w:val="26"/>
            </w:pPr>
            <w:r>
              <w:t>提升节假日、马拉松期间绿化美化效果，提高城市形象</w:t>
            </w:r>
          </w:p>
        </w:tc>
        <w:tc>
          <w:tcPr>
            <w:tcW w:w="2268" w:type="dxa"/>
            <w:vAlign w:val="center"/>
          </w:tcPr>
          <w:p>
            <w:pPr>
              <w:pStyle w:val="26"/>
            </w:pPr>
            <w:r>
              <w:t>绿环美化情况</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17、绿化专项维护工程尾款绩效目标表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1.按合同约定支付工程款，保障工程顺利进行。</w:t>
            </w:r>
          </w:p>
          <w:p>
            <w:pPr>
              <w:pStyle w:val="26"/>
            </w:pPr>
            <w:r>
              <w:t>2.提高衡水城市绿化水平，增加绿地面积</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养护情况</w:t>
            </w:r>
          </w:p>
        </w:tc>
        <w:tc>
          <w:tcPr>
            <w:tcW w:w="2835" w:type="dxa"/>
            <w:vAlign w:val="center"/>
          </w:tcPr>
          <w:p>
            <w:pPr>
              <w:pStyle w:val="26"/>
            </w:pPr>
            <w:r>
              <w:t>按合同要求养护管理</w:t>
            </w:r>
          </w:p>
        </w:tc>
        <w:tc>
          <w:tcPr>
            <w:tcW w:w="2551" w:type="dxa"/>
            <w:vAlign w:val="center"/>
          </w:tcPr>
          <w:p>
            <w:pPr>
              <w:pStyle w:val="26"/>
            </w:pPr>
            <w:r>
              <w:t>按照合同要求养护</w:t>
            </w:r>
          </w:p>
        </w:tc>
        <w:tc>
          <w:tcPr>
            <w:tcW w:w="2268" w:type="dxa"/>
            <w:vAlign w:val="center"/>
          </w:tcPr>
          <w:p>
            <w:pPr>
              <w:pStyle w:val="26"/>
            </w:pPr>
            <w:r>
              <w:t>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按合同约定或审计结果支付工程款</w:t>
            </w:r>
          </w:p>
        </w:tc>
        <w:tc>
          <w:tcPr>
            <w:tcW w:w="2551" w:type="dxa"/>
            <w:vAlign w:val="center"/>
          </w:tcPr>
          <w:p>
            <w:pPr>
              <w:pStyle w:val="26"/>
            </w:pPr>
            <w:r>
              <w:t>按照合同约定和审计情况支付工程款</w:t>
            </w:r>
          </w:p>
        </w:tc>
        <w:tc>
          <w:tcPr>
            <w:tcW w:w="2268" w:type="dxa"/>
            <w:vAlign w:val="center"/>
          </w:tcPr>
          <w:p>
            <w:pPr>
              <w:pStyle w:val="26"/>
            </w:pPr>
            <w:r>
              <w:t>合同和审计情况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增加市区绿地面积，提升景观绿化效果</w:t>
            </w:r>
          </w:p>
        </w:tc>
        <w:tc>
          <w:tcPr>
            <w:tcW w:w="2551" w:type="dxa"/>
            <w:vAlign w:val="center"/>
          </w:tcPr>
          <w:p>
            <w:pPr>
              <w:pStyle w:val="26"/>
            </w:pPr>
            <w:r>
              <w:t>增加市区绿地面积，提升景观绿化效果</w:t>
            </w:r>
          </w:p>
        </w:tc>
        <w:tc>
          <w:tcPr>
            <w:tcW w:w="2268" w:type="dxa"/>
            <w:vAlign w:val="center"/>
          </w:tcPr>
          <w:p>
            <w:pPr>
              <w:pStyle w:val="26"/>
            </w:pPr>
            <w:r>
              <w:t>工程建设养护情况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18、抢救性资源保护--古树名木保护（提前下达）绩效目标表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1.通过衡水市区古树名木保护项目的开展，实现古树复壮，减少病虫害，延长古树寿命。</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古树名木复壮数</w:t>
            </w:r>
          </w:p>
        </w:tc>
        <w:tc>
          <w:tcPr>
            <w:tcW w:w="2835" w:type="dxa"/>
            <w:vAlign w:val="center"/>
          </w:tcPr>
          <w:p>
            <w:pPr>
              <w:pStyle w:val="26"/>
            </w:pPr>
            <w:r>
              <w:t>年内实施保护复壮的古树名木数量</w:t>
            </w:r>
          </w:p>
        </w:tc>
        <w:tc>
          <w:tcPr>
            <w:tcW w:w="2551" w:type="dxa"/>
            <w:vAlign w:val="center"/>
          </w:tcPr>
          <w:p>
            <w:pPr>
              <w:pStyle w:val="26"/>
            </w:pPr>
            <w:r>
              <w:t>10株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古树长势情况</w:t>
            </w:r>
          </w:p>
        </w:tc>
        <w:tc>
          <w:tcPr>
            <w:tcW w:w="2835" w:type="dxa"/>
            <w:vAlign w:val="center"/>
          </w:tcPr>
          <w:p>
            <w:pPr>
              <w:pStyle w:val="26"/>
            </w:pPr>
            <w:r>
              <w:t>明显改善古树生长颓势，延续寿命</w:t>
            </w:r>
          </w:p>
        </w:tc>
        <w:tc>
          <w:tcPr>
            <w:tcW w:w="2551" w:type="dxa"/>
            <w:vAlign w:val="center"/>
          </w:tcPr>
          <w:p>
            <w:pPr>
              <w:pStyle w:val="26"/>
            </w:pPr>
            <w:r>
              <w:t>复壮后古树生长情况全部达到合同的约定效果</w:t>
            </w:r>
          </w:p>
        </w:tc>
        <w:tc>
          <w:tcPr>
            <w:tcW w:w="2268" w:type="dxa"/>
            <w:vAlign w:val="center"/>
          </w:tcPr>
          <w:p>
            <w:pPr>
              <w:pStyle w:val="26"/>
            </w:pPr>
            <w:r>
              <w:t>古树名木生长情况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完成进度</w:t>
            </w:r>
          </w:p>
        </w:tc>
        <w:tc>
          <w:tcPr>
            <w:tcW w:w="2835" w:type="dxa"/>
            <w:vAlign w:val="center"/>
          </w:tcPr>
          <w:p>
            <w:pPr>
              <w:pStyle w:val="26"/>
            </w:pPr>
            <w:r>
              <w:t>按合同约定进行古树名木复壮项目</w:t>
            </w:r>
          </w:p>
        </w:tc>
        <w:tc>
          <w:tcPr>
            <w:tcW w:w="2551" w:type="dxa"/>
            <w:vAlign w:val="center"/>
          </w:tcPr>
          <w:p>
            <w:pPr>
              <w:pStyle w:val="26"/>
            </w:pPr>
            <w:r>
              <w:t>按合同约定按期开展复壮工程</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复壮项目款</w:t>
            </w:r>
          </w:p>
        </w:tc>
        <w:tc>
          <w:tcPr>
            <w:tcW w:w="2835" w:type="dxa"/>
            <w:vAlign w:val="center"/>
          </w:tcPr>
          <w:p>
            <w:pPr>
              <w:pStyle w:val="26"/>
            </w:pPr>
            <w:r>
              <w:t>按合同约定的金额数</w:t>
            </w:r>
          </w:p>
        </w:tc>
        <w:tc>
          <w:tcPr>
            <w:tcW w:w="2551" w:type="dxa"/>
            <w:vAlign w:val="center"/>
          </w:tcPr>
          <w:p>
            <w:pPr>
              <w:pStyle w:val="26"/>
            </w:pPr>
            <w:r>
              <w:t>控制在年初预算内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保护历史文化资源</w:t>
            </w:r>
          </w:p>
        </w:tc>
        <w:tc>
          <w:tcPr>
            <w:tcW w:w="2835" w:type="dxa"/>
            <w:vAlign w:val="center"/>
          </w:tcPr>
          <w:p>
            <w:pPr>
              <w:pStyle w:val="26"/>
            </w:pPr>
            <w:r>
              <w:t>延长古树名木寿命，延续衡水历史文脉</w:t>
            </w:r>
          </w:p>
        </w:tc>
        <w:tc>
          <w:tcPr>
            <w:tcW w:w="2551" w:type="dxa"/>
            <w:vAlign w:val="center"/>
          </w:tcPr>
          <w:p>
            <w:pPr>
              <w:pStyle w:val="26"/>
            </w:pPr>
            <w:r>
              <w:t>通过复壮，延长古树名木寿命，保护其历史文化</w:t>
            </w:r>
          </w:p>
        </w:tc>
        <w:tc>
          <w:tcPr>
            <w:tcW w:w="2268" w:type="dxa"/>
            <w:vAlign w:val="center"/>
          </w:tcPr>
          <w:p>
            <w:pPr>
              <w:pStyle w:val="26"/>
            </w:pPr>
            <w:r>
              <w:t>古树名木生长情况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市民对古树复壮效果的满意度调查</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19、省级三区科技人才专项绩效目标表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1.进行技术指导，巩固拓展脱贫攻坚成果。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采购数量</w:t>
            </w:r>
          </w:p>
        </w:tc>
        <w:tc>
          <w:tcPr>
            <w:tcW w:w="2835" w:type="dxa"/>
            <w:vAlign w:val="center"/>
          </w:tcPr>
          <w:p>
            <w:pPr>
              <w:pStyle w:val="26"/>
            </w:pPr>
            <w:r>
              <w:t>采购并发放绿化专业资料数量</w:t>
            </w:r>
          </w:p>
        </w:tc>
        <w:tc>
          <w:tcPr>
            <w:tcW w:w="2551" w:type="dxa"/>
            <w:vAlign w:val="center"/>
          </w:tcPr>
          <w:p>
            <w:pPr>
              <w:pStyle w:val="26"/>
            </w:pPr>
            <w:r>
              <w:t>50册</w:t>
            </w:r>
          </w:p>
        </w:tc>
        <w:tc>
          <w:tcPr>
            <w:tcW w:w="2268" w:type="dxa"/>
            <w:vAlign w:val="center"/>
          </w:tcPr>
          <w:p>
            <w:pPr>
              <w:pStyle w:val="26"/>
            </w:pP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专业资料发放率</w:t>
            </w:r>
          </w:p>
        </w:tc>
        <w:tc>
          <w:tcPr>
            <w:tcW w:w="2835" w:type="dxa"/>
            <w:vAlign w:val="center"/>
          </w:tcPr>
          <w:p>
            <w:pPr>
              <w:pStyle w:val="26"/>
            </w:pPr>
            <w:r>
              <w:t>专业资料发放率</w:t>
            </w:r>
          </w:p>
        </w:tc>
        <w:tc>
          <w:tcPr>
            <w:tcW w:w="2551" w:type="dxa"/>
            <w:vAlign w:val="center"/>
          </w:tcPr>
          <w:p>
            <w:pPr>
              <w:pStyle w:val="26"/>
            </w:pPr>
            <w:r>
              <w:t>100%</w:t>
            </w:r>
          </w:p>
        </w:tc>
        <w:tc>
          <w:tcPr>
            <w:tcW w:w="2268" w:type="dxa"/>
            <w:vAlign w:val="center"/>
          </w:tcPr>
          <w:p>
            <w:pPr>
              <w:pStyle w:val="26"/>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采购时间</w:t>
            </w:r>
          </w:p>
        </w:tc>
        <w:tc>
          <w:tcPr>
            <w:tcW w:w="2835" w:type="dxa"/>
            <w:vAlign w:val="center"/>
          </w:tcPr>
          <w:p>
            <w:pPr>
              <w:pStyle w:val="26"/>
            </w:pPr>
            <w:r>
              <w:t>按合同约定的时间完成资料采购</w:t>
            </w:r>
          </w:p>
        </w:tc>
        <w:tc>
          <w:tcPr>
            <w:tcW w:w="2551" w:type="dxa"/>
            <w:vAlign w:val="center"/>
          </w:tcPr>
          <w:p>
            <w:pPr>
              <w:pStyle w:val="26"/>
            </w:pPr>
            <w:r>
              <w:t>按合同约定的时间完成资料采购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成本控制在合同价以内</w:t>
            </w:r>
          </w:p>
        </w:tc>
        <w:tc>
          <w:tcPr>
            <w:tcW w:w="2551" w:type="dxa"/>
            <w:vAlign w:val="center"/>
          </w:tcPr>
          <w:p>
            <w:pPr>
              <w:pStyle w:val="26"/>
            </w:pPr>
            <w:r>
              <w:t>按合同约定的价格结算</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提升村民培育养植技术</w:t>
            </w:r>
          </w:p>
        </w:tc>
        <w:tc>
          <w:tcPr>
            <w:tcW w:w="2835" w:type="dxa"/>
            <w:vAlign w:val="center"/>
          </w:tcPr>
          <w:p>
            <w:pPr>
              <w:pStyle w:val="26"/>
            </w:pPr>
            <w:r>
              <w:t>持续提升村民培育养植技术</w:t>
            </w:r>
          </w:p>
        </w:tc>
        <w:tc>
          <w:tcPr>
            <w:tcW w:w="2551" w:type="dxa"/>
            <w:vAlign w:val="center"/>
          </w:tcPr>
          <w:p>
            <w:pPr>
              <w:pStyle w:val="26"/>
            </w:pPr>
            <w:r>
              <w:t>村民的培育养植技术得到持续提升</w:t>
            </w:r>
          </w:p>
        </w:tc>
        <w:tc>
          <w:tcPr>
            <w:tcW w:w="2268" w:type="dxa"/>
            <w:vAlign w:val="center"/>
          </w:tcPr>
          <w:p>
            <w:pPr>
              <w:pStyle w:val="26"/>
            </w:pPr>
            <w:r>
              <w:t>现场走访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村民满意度</w:t>
            </w:r>
          </w:p>
        </w:tc>
        <w:tc>
          <w:tcPr>
            <w:tcW w:w="2835" w:type="dxa"/>
            <w:vAlign w:val="center"/>
          </w:tcPr>
          <w:p>
            <w:pPr>
              <w:pStyle w:val="26"/>
            </w:pPr>
            <w:r>
              <w:t>村民满意度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20、市区立体花坛恢复项目绩效目标表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1.对市区原有立体花坛进行恢复，完成换花及养护工作，提升绿化美化水平</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改造立体花坛换花次数</w:t>
            </w:r>
          </w:p>
        </w:tc>
        <w:tc>
          <w:tcPr>
            <w:tcW w:w="2835" w:type="dxa"/>
            <w:vAlign w:val="center"/>
          </w:tcPr>
          <w:p>
            <w:pPr>
              <w:pStyle w:val="26"/>
            </w:pPr>
            <w:r>
              <w:t>全年立体花坛换花次数</w:t>
            </w:r>
          </w:p>
        </w:tc>
        <w:tc>
          <w:tcPr>
            <w:tcW w:w="2551" w:type="dxa"/>
            <w:vAlign w:val="center"/>
          </w:tcPr>
          <w:p>
            <w:pPr>
              <w:pStyle w:val="26"/>
            </w:pPr>
            <w:r>
              <w:t>2次</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采购花卉质量达标</w:t>
            </w:r>
          </w:p>
        </w:tc>
        <w:tc>
          <w:tcPr>
            <w:tcW w:w="2835" w:type="dxa"/>
            <w:vAlign w:val="center"/>
          </w:tcPr>
          <w:p>
            <w:pPr>
              <w:pStyle w:val="26"/>
            </w:pPr>
            <w:r>
              <w:t>依据合同规定，采购花卉质量达标，验收合格</w:t>
            </w:r>
          </w:p>
        </w:tc>
        <w:tc>
          <w:tcPr>
            <w:tcW w:w="2551" w:type="dxa"/>
            <w:vAlign w:val="center"/>
          </w:tcPr>
          <w:p>
            <w:pPr>
              <w:pStyle w:val="26"/>
            </w:pPr>
            <w:r>
              <w:t>依据合同规定，采购花卉质量达标，验收合格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按合同约定完成时限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完成改造立体花坛工程支出控制在预算内</w:t>
            </w:r>
          </w:p>
        </w:tc>
        <w:tc>
          <w:tcPr>
            <w:tcW w:w="2551" w:type="dxa"/>
            <w:vAlign w:val="center"/>
          </w:tcPr>
          <w:p>
            <w:pPr>
              <w:pStyle w:val="26"/>
            </w:pPr>
            <w:r>
              <w:t>支出控制在预算内</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工程顺利完工，提升城市绿化景观</w:t>
            </w:r>
          </w:p>
        </w:tc>
        <w:tc>
          <w:tcPr>
            <w:tcW w:w="2551" w:type="dxa"/>
            <w:vAlign w:val="center"/>
          </w:tcPr>
          <w:p>
            <w:pPr>
              <w:pStyle w:val="26"/>
            </w:pPr>
            <w:r>
              <w:t>市区花坛改造工程顺利完成，提升城市绿化景观</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21、王凤君工伤专项资金绩效目标表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1.按照法院判决支付停工留薪期间工资、一次性伤残补助、一次性工伤医疗补助、鉴定费</w:t>
            </w:r>
          </w:p>
          <w:p>
            <w:pPr>
              <w:pStyle w:val="26"/>
            </w:pPr>
            <w:r>
              <w:t>2.及时支付工伤专项资金，确保当事人满意</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支付金额</w:t>
            </w:r>
          </w:p>
        </w:tc>
        <w:tc>
          <w:tcPr>
            <w:tcW w:w="2835" w:type="dxa"/>
            <w:vAlign w:val="center"/>
          </w:tcPr>
          <w:p>
            <w:pPr>
              <w:pStyle w:val="26"/>
            </w:pPr>
            <w:r>
              <w:t>按照法院判决支付停工留薪期间工资、一次性伤残补助、一次性工伤医疗补助、鉴定费</w:t>
            </w:r>
          </w:p>
        </w:tc>
        <w:tc>
          <w:tcPr>
            <w:tcW w:w="2551" w:type="dxa"/>
            <w:vAlign w:val="center"/>
          </w:tcPr>
          <w:p>
            <w:pPr>
              <w:pStyle w:val="26"/>
            </w:pPr>
            <w:r>
              <w:t xml:space="preserve">239481.9元 </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支付完成</w:t>
            </w:r>
          </w:p>
        </w:tc>
        <w:tc>
          <w:tcPr>
            <w:tcW w:w="2835" w:type="dxa"/>
            <w:vAlign w:val="center"/>
          </w:tcPr>
          <w:p>
            <w:pPr>
              <w:pStyle w:val="26"/>
            </w:pPr>
            <w:r>
              <w:t>依据法院判决执行完毕</w:t>
            </w:r>
          </w:p>
        </w:tc>
        <w:tc>
          <w:tcPr>
            <w:tcW w:w="2551" w:type="dxa"/>
            <w:vAlign w:val="center"/>
          </w:tcPr>
          <w:p>
            <w:pPr>
              <w:pStyle w:val="26"/>
            </w:pPr>
            <w:r>
              <w:t>依据法院判决执行完毕</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按时支付</w:t>
            </w:r>
          </w:p>
        </w:tc>
        <w:tc>
          <w:tcPr>
            <w:tcW w:w="2835" w:type="dxa"/>
            <w:vAlign w:val="center"/>
          </w:tcPr>
          <w:p>
            <w:pPr>
              <w:pStyle w:val="26"/>
            </w:pPr>
            <w:r>
              <w:t>依据法院判决书要求的时间支付完毕</w:t>
            </w:r>
          </w:p>
        </w:tc>
        <w:tc>
          <w:tcPr>
            <w:tcW w:w="2551" w:type="dxa"/>
            <w:vAlign w:val="center"/>
          </w:tcPr>
          <w:p>
            <w:pPr>
              <w:pStyle w:val="26"/>
            </w:pPr>
            <w:r>
              <w:t>依据法院判决书要求的时间支付完毕</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停工留薪期间工资、一次性伤残补助、一次性工伤医疗补助、鉴定费</w:t>
            </w:r>
          </w:p>
        </w:tc>
        <w:tc>
          <w:tcPr>
            <w:tcW w:w="2835" w:type="dxa"/>
            <w:vAlign w:val="center"/>
          </w:tcPr>
          <w:p>
            <w:pPr>
              <w:pStyle w:val="26"/>
            </w:pPr>
            <w:r>
              <w:t>依据法院判决书判定的金额足额支付</w:t>
            </w:r>
          </w:p>
        </w:tc>
        <w:tc>
          <w:tcPr>
            <w:tcW w:w="2551" w:type="dxa"/>
            <w:vAlign w:val="center"/>
          </w:tcPr>
          <w:p>
            <w:pPr>
              <w:pStyle w:val="26"/>
            </w:pPr>
            <w:r>
              <w:t>依据法院判决书判定的金额足额支付</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严格执行法院判决书</w:t>
            </w:r>
          </w:p>
        </w:tc>
        <w:tc>
          <w:tcPr>
            <w:tcW w:w="2835" w:type="dxa"/>
            <w:vAlign w:val="center"/>
          </w:tcPr>
          <w:p>
            <w:pPr>
              <w:pStyle w:val="26"/>
            </w:pPr>
            <w:r>
              <w:t>依据法院判决书判定的金额足额支付后，获得当事人满意</w:t>
            </w:r>
          </w:p>
        </w:tc>
        <w:tc>
          <w:tcPr>
            <w:tcW w:w="2551" w:type="dxa"/>
            <w:vAlign w:val="center"/>
          </w:tcPr>
          <w:p>
            <w:pPr>
              <w:pStyle w:val="26"/>
            </w:pPr>
            <w:r>
              <w:t>法院判决书得到严格执行</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当事人满意度</w:t>
            </w:r>
          </w:p>
        </w:tc>
        <w:tc>
          <w:tcPr>
            <w:tcW w:w="2835" w:type="dxa"/>
            <w:vAlign w:val="center"/>
          </w:tcPr>
          <w:p>
            <w:pPr>
              <w:pStyle w:val="26"/>
            </w:pPr>
            <w:r>
              <w:t>当事人满意度</w:t>
            </w:r>
          </w:p>
        </w:tc>
        <w:tc>
          <w:tcPr>
            <w:tcW w:w="2551" w:type="dxa"/>
            <w:vAlign w:val="center"/>
          </w:tcPr>
          <w:p>
            <w:pPr>
              <w:pStyle w:val="26"/>
            </w:pPr>
            <w:r>
              <w:t>≥90%</w:t>
            </w:r>
          </w:p>
        </w:tc>
        <w:tc>
          <w:tcPr>
            <w:tcW w:w="2268" w:type="dxa"/>
            <w:vAlign w:val="center"/>
          </w:tcPr>
          <w:p>
            <w:pPr>
              <w:pStyle w:val="26"/>
            </w:pPr>
            <w:r>
              <w:t>走访调查</w:t>
            </w:r>
          </w:p>
        </w:tc>
      </w:tr>
    </w:tbl>
    <w:p>
      <w:pPr>
        <w:pStyle w:val="24"/>
      </w:pPr>
    </w:p>
    <w:p>
      <w:pPr>
        <w:pStyle w:val="24"/>
        <w:ind w:firstLine="560"/>
      </w:pPr>
      <w:r>
        <w:rPr>
          <w:rFonts w:ascii="方正仿宋_GBK" w:hAnsi="方正仿宋_GBK" w:eastAsia="方正仿宋_GBK" w:cs="方正仿宋_GBK"/>
          <w:b/>
          <w:color w:val="000000"/>
          <w:sz w:val="28"/>
        </w:rPr>
        <w:t>22、王华斌工伤专项资金绩效目标表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1.按要求发放王华斌伤残津贴，保障其基本生活</w:t>
            </w:r>
          </w:p>
          <w:p>
            <w:pPr>
              <w:pStyle w:val="26"/>
            </w:pPr>
            <w:r>
              <w:t>2.按要求发放王华斌生活护理费，保障其基本生活</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支付王华斌伤残津贴、生活护理费月份</w:t>
            </w:r>
          </w:p>
        </w:tc>
        <w:tc>
          <w:tcPr>
            <w:tcW w:w="2835" w:type="dxa"/>
            <w:vAlign w:val="center"/>
          </w:tcPr>
          <w:p>
            <w:pPr>
              <w:pStyle w:val="26"/>
            </w:pPr>
            <w:r>
              <w:t>支付王华斌1-12月份伤残津贴和生活护理费</w:t>
            </w:r>
          </w:p>
        </w:tc>
        <w:tc>
          <w:tcPr>
            <w:tcW w:w="2551" w:type="dxa"/>
            <w:vAlign w:val="center"/>
          </w:tcPr>
          <w:p>
            <w:pPr>
              <w:pStyle w:val="26"/>
            </w:pPr>
            <w:r>
              <w:t>12月</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伤残津贴和生活护理费支付标准（元）</w:t>
            </w:r>
          </w:p>
        </w:tc>
        <w:tc>
          <w:tcPr>
            <w:tcW w:w="2835" w:type="dxa"/>
            <w:vAlign w:val="center"/>
          </w:tcPr>
          <w:p>
            <w:pPr>
              <w:pStyle w:val="26"/>
            </w:pPr>
            <w:r>
              <w:t>每月支付王华斌伤残津贴、生活护理费</w:t>
            </w:r>
          </w:p>
        </w:tc>
        <w:tc>
          <w:tcPr>
            <w:tcW w:w="2551" w:type="dxa"/>
            <w:vAlign w:val="center"/>
          </w:tcPr>
          <w:p>
            <w:pPr>
              <w:pStyle w:val="26"/>
            </w:pPr>
            <w:r>
              <w:t>4402.9元</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是否按规定标准发放</w:t>
            </w:r>
          </w:p>
        </w:tc>
        <w:tc>
          <w:tcPr>
            <w:tcW w:w="2835" w:type="dxa"/>
            <w:vAlign w:val="center"/>
          </w:tcPr>
          <w:p>
            <w:pPr>
              <w:pStyle w:val="26"/>
            </w:pPr>
            <w:r>
              <w:t>按法院判决书规定的伤残津贴和生活护理费标准发放</w:t>
            </w:r>
          </w:p>
        </w:tc>
        <w:tc>
          <w:tcPr>
            <w:tcW w:w="2551" w:type="dxa"/>
            <w:vAlign w:val="center"/>
          </w:tcPr>
          <w:p>
            <w:pPr>
              <w:pStyle w:val="26"/>
            </w:pPr>
            <w:r>
              <w:t>4402.9元/月</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支付及时性</w:t>
            </w:r>
          </w:p>
        </w:tc>
        <w:tc>
          <w:tcPr>
            <w:tcW w:w="2835" w:type="dxa"/>
            <w:vAlign w:val="center"/>
          </w:tcPr>
          <w:p>
            <w:pPr>
              <w:pStyle w:val="26"/>
            </w:pPr>
            <w:r>
              <w:t>及时支付王华斌伤残津贴和生活护理费</w:t>
            </w:r>
          </w:p>
        </w:tc>
        <w:tc>
          <w:tcPr>
            <w:tcW w:w="2551" w:type="dxa"/>
            <w:vAlign w:val="center"/>
          </w:tcPr>
          <w:p>
            <w:pPr>
              <w:pStyle w:val="26"/>
            </w:pPr>
            <w:r>
              <w:t>及时支付王华斌伤残津贴和生活护理费</w:t>
            </w:r>
          </w:p>
          <w:p>
            <w:pPr>
              <w:pStyle w:val="26"/>
            </w:pPr>
          </w:p>
          <w:p>
            <w:pPr>
              <w:pStyle w:val="26"/>
            </w:pPr>
          </w:p>
        </w:tc>
        <w:tc>
          <w:tcPr>
            <w:tcW w:w="2268" w:type="dxa"/>
            <w:vAlign w:val="center"/>
          </w:tcPr>
          <w:p>
            <w:pPr>
              <w:pStyle w:val="2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保障王华斌合法权益</w:t>
            </w:r>
          </w:p>
        </w:tc>
        <w:tc>
          <w:tcPr>
            <w:tcW w:w="2835" w:type="dxa"/>
            <w:vAlign w:val="center"/>
          </w:tcPr>
          <w:p>
            <w:pPr>
              <w:pStyle w:val="26"/>
            </w:pPr>
            <w:r>
              <w:t>保障王华斌享受伤残津贴等合法权益</w:t>
            </w:r>
          </w:p>
        </w:tc>
        <w:tc>
          <w:tcPr>
            <w:tcW w:w="2551" w:type="dxa"/>
            <w:vAlign w:val="center"/>
          </w:tcPr>
          <w:p>
            <w:pPr>
              <w:pStyle w:val="26"/>
            </w:pPr>
            <w:r>
              <w:t>根据法院判决书保障王华斌享受合法的伤残津贴和生活护理费</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对象满意度</w:t>
            </w:r>
          </w:p>
        </w:tc>
        <w:tc>
          <w:tcPr>
            <w:tcW w:w="2835" w:type="dxa"/>
            <w:vAlign w:val="center"/>
          </w:tcPr>
          <w:p>
            <w:pPr>
              <w:pStyle w:val="26"/>
            </w:pPr>
            <w:r>
              <w:t>对象满意度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23、园博园创5A景区改造提升工程绩效目标表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1.根据市政府要求，使园博园在星级公园的标准上提升改造，达到5A景区标准</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完成园区古建类展园彩绘恢复面积</w:t>
            </w:r>
          </w:p>
        </w:tc>
        <w:tc>
          <w:tcPr>
            <w:tcW w:w="2835" w:type="dxa"/>
            <w:vAlign w:val="center"/>
          </w:tcPr>
          <w:p>
            <w:pPr>
              <w:pStyle w:val="26"/>
            </w:pPr>
            <w:r>
              <w:t>完成园区古建类展园彩绘恢复面积</w:t>
            </w:r>
          </w:p>
        </w:tc>
        <w:tc>
          <w:tcPr>
            <w:tcW w:w="2551" w:type="dxa"/>
            <w:vAlign w:val="center"/>
          </w:tcPr>
          <w:p>
            <w:pPr>
              <w:pStyle w:val="26"/>
            </w:pPr>
            <w:r>
              <w:t>8000平方米</w:t>
            </w:r>
          </w:p>
        </w:tc>
        <w:tc>
          <w:tcPr>
            <w:tcW w:w="2268" w:type="dxa"/>
            <w:vAlign w:val="center"/>
          </w:tcPr>
          <w:p>
            <w:pPr>
              <w:pStyle w:val="26"/>
            </w:pPr>
            <w: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验收合格率</w:t>
            </w:r>
          </w:p>
        </w:tc>
        <w:tc>
          <w:tcPr>
            <w:tcW w:w="2835" w:type="dxa"/>
            <w:vAlign w:val="center"/>
          </w:tcPr>
          <w:p>
            <w:pPr>
              <w:pStyle w:val="26"/>
            </w:pPr>
            <w:r>
              <w:t>验收合格率</w:t>
            </w:r>
          </w:p>
        </w:tc>
        <w:tc>
          <w:tcPr>
            <w:tcW w:w="2551" w:type="dxa"/>
            <w:vAlign w:val="center"/>
          </w:tcPr>
          <w:p>
            <w:pPr>
              <w:pStyle w:val="26"/>
            </w:pPr>
            <w:r>
              <w:t>100%</w:t>
            </w:r>
          </w:p>
        </w:tc>
        <w:tc>
          <w:tcPr>
            <w:tcW w:w="2268" w:type="dxa"/>
            <w:vAlign w:val="center"/>
          </w:tcPr>
          <w:p>
            <w:pPr>
              <w:pStyle w:val="26"/>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完工时间</w:t>
            </w:r>
          </w:p>
        </w:tc>
        <w:tc>
          <w:tcPr>
            <w:tcW w:w="2835" w:type="dxa"/>
            <w:vAlign w:val="center"/>
          </w:tcPr>
          <w:p>
            <w:pPr>
              <w:pStyle w:val="26"/>
            </w:pPr>
            <w:r>
              <w:t>按合同约定时间完工</w:t>
            </w:r>
          </w:p>
        </w:tc>
        <w:tc>
          <w:tcPr>
            <w:tcW w:w="2551" w:type="dxa"/>
            <w:vAlign w:val="center"/>
          </w:tcPr>
          <w:p>
            <w:pPr>
              <w:pStyle w:val="26"/>
            </w:pPr>
            <w:r>
              <w:t>按合同约定时间完工</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成本控制预算内</w:t>
            </w:r>
          </w:p>
        </w:tc>
        <w:tc>
          <w:tcPr>
            <w:tcW w:w="2835" w:type="dxa"/>
            <w:vAlign w:val="center"/>
          </w:tcPr>
          <w:p>
            <w:pPr>
              <w:pStyle w:val="26"/>
            </w:pPr>
            <w:r>
              <w:t>成本控制预算内</w:t>
            </w:r>
          </w:p>
        </w:tc>
        <w:tc>
          <w:tcPr>
            <w:tcW w:w="2551" w:type="dxa"/>
            <w:vAlign w:val="center"/>
          </w:tcPr>
          <w:p>
            <w:pPr>
              <w:pStyle w:val="26"/>
            </w:pPr>
            <w:r>
              <w:t>成本控制预算内</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可持续性服务</w:t>
            </w:r>
          </w:p>
        </w:tc>
        <w:tc>
          <w:tcPr>
            <w:tcW w:w="2835" w:type="dxa"/>
            <w:vAlign w:val="center"/>
          </w:tcPr>
          <w:p>
            <w:pPr>
              <w:pStyle w:val="26"/>
            </w:pPr>
            <w:r>
              <w:t>持续为游客提供良好的游园环境</w:t>
            </w:r>
          </w:p>
        </w:tc>
        <w:tc>
          <w:tcPr>
            <w:tcW w:w="2551" w:type="dxa"/>
            <w:vAlign w:val="center"/>
          </w:tcPr>
          <w:p>
            <w:pPr>
              <w:pStyle w:val="26"/>
            </w:pPr>
            <w:r>
              <w:t>提升园内景观效果，持续为游客提供良好的游园环境</w:t>
            </w:r>
          </w:p>
        </w:tc>
        <w:tc>
          <w:tcPr>
            <w:tcW w:w="2268" w:type="dxa"/>
            <w:vAlign w:val="center"/>
          </w:tcPr>
          <w:p>
            <w:pPr>
              <w:pStyle w:val="26"/>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游客满意度</w:t>
            </w:r>
          </w:p>
        </w:tc>
        <w:tc>
          <w:tcPr>
            <w:tcW w:w="2835" w:type="dxa"/>
            <w:vAlign w:val="center"/>
          </w:tcPr>
          <w:p>
            <w:pPr>
              <w:pStyle w:val="26"/>
            </w:pPr>
            <w:r>
              <w:t>游客满意度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24、园林城市维护费（基金）绩效目标表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1.市区乔灌木补植到位，苗木、草花采购达到城市绿化维护需要，美化城市绿化景观，提升城市形象及竞争力</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绿化养护面积</w:t>
            </w:r>
          </w:p>
        </w:tc>
        <w:tc>
          <w:tcPr>
            <w:tcW w:w="2835" w:type="dxa"/>
            <w:vAlign w:val="center"/>
          </w:tcPr>
          <w:p>
            <w:pPr>
              <w:pStyle w:val="26"/>
            </w:pPr>
            <w:r>
              <w:t>绿化养护面积</w:t>
            </w:r>
          </w:p>
        </w:tc>
        <w:tc>
          <w:tcPr>
            <w:tcW w:w="2551" w:type="dxa"/>
            <w:vAlign w:val="center"/>
          </w:tcPr>
          <w:p>
            <w:pPr>
              <w:pStyle w:val="26"/>
            </w:pPr>
            <w:r>
              <w:t>≥150万平方米</w:t>
            </w:r>
          </w:p>
        </w:tc>
        <w:tc>
          <w:tcPr>
            <w:tcW w:w="2268" w:type="dxa"/>
            <w:vAlign w:val="center"/>
          </w:tcPr>
          <w:p>
            <w:pPr>
              <w:pStyle w:val="26"/>
            </w:pPr>
            <w:r>
              <w:t>市区绿化面积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乔灌木生长年限</w:t>
            </w:r>
          </w:p>
        </w:tc>
        <w:tc>
          <w:tcPr>
            <w:tcW w:w="2835" w:type="dxa"/>
            <w:vAlign w:val="center"/>
          </w:tcPr>
          <w:p>
            <w:pPr>
              <w:pStyle w:val="26"/>
            </w:pPr>
            <w:r>
              <w:t>乔灌木生长年限</w:t>
            </w:r>
          </w:p>
        </w:tc>
        <w:tc>
          <w:tcPr>
            <w:tcW w:w="2551" w:type="dxa"/>
            <w:vAlign w:val="center"/>
          </w:tcPr>
          <w:p>
            <w:pPr>
              <w:pStyle w:val="26"/>
            </w:pPr>
            <w:r>
              <w:t>≥2年</w:t>
            </w:r>
          </w:p>
        </w:tc>
        <w:tc>
          <w:tcPr>
            <w:tcW w:w="2268" w:type="dxa"/>
            <w:vAlign w:val="center"/>
          </w:tcPr>
          <w:p>
            <w:pPr>
              <w:pStyle w:val="26"/>
            </w:pPr>
            <w: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维护费支出成本控制情况</w:t>
            </w:r>
          </w:p>
        </w:tc>
        <w:tc>
          <w:tcPr>
            <w:tcW w:w="2835" w:type="dxa"/>
            <w:vAlign w:val="center"/>
          </w:tcPr>
          <w:p>
            <w:pPr>
              <w:pStyle w:val="26"/>
            </w:pPr>
            <w:r>
              <w:t>按照精细化管理标准安排维护费预算</w:t>
            </w:r>
          </w:p>
        </w:tc>
        <w:tc>
          <w:tcPr>
            <w:tcW w:w="2551" w:type="dxa"/>
            <w:vAlign w:val="center"/>
          </w:tcPr>
          <w:p>
            <w:pPr>
              <w:pStyle w:val="26"/>
            </w:pPr>
            <w:r>
              <w:t>按照《衡水市城市管理精细化标准》</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城市绿化维护养护对社会环境的提升情况</w:t>
            </w:r>
          </w:p>
        </w:tc>
        <w:tc>
          <w:tcPr>
            <w:tcW w:w="2835" w:type="dxa"/>
            <w:vAlign w:val="center"/>
          </w:tcPr>
          <w:p>
            <w:pPr>
              <w:pStyle w:val="26"/>
            </w:pPr>
            <w:r>
              <w:t>园林绿化养护管理实施精细化，提升市区绿化美化效果</w:t>
            </w:r>
          </w:p>
        </w:tc>
        <w:tc>
          <w:tcPr>
            <w:tcW w:w="2551" w:type="dxa"/>
            <w:vAlign w:val="center"/>
          </w:tcPr>
          <w:p>
            <w:pPr>
              <w:pStyle w:val="26"/>
            </w:pPr>
            <w:r>
              <w:t>园林绿化养护管理实施精细化管理，提升市区绿化美化效果</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25、园林城市维护费（一般预算）绩效目标表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1.市区乔灌木补植到位，苗木、草花采购达到城市绿化维护需要，美化城市绿化景观，提升城市形象及竞争力</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绿地模块修剪次数</w:t>
            </w:r>
          </w:p>
        </w:tc>
        <w:tc>
          <w:tcPr>
            <w:tcW w:w="2835" w:type="dxa"/>
            <w:vAlign w:val="center"/>
          </w:tcPr>
          <w:p>
            <w:pPr>
              <w:pStyle w:val="26"/>
            </w:pPr>
            <w:r>
              <w:t>2021年全年市区绿地模块修剪次数</w:t>
            </w:r>
          </w:p>
        </w:tc>
        <w:tc>
          <w:tcPr>
            <w:tcW w:w="2551" w:type="dxa"/>
            <w:vAlign w:val="center"/>
          </w:tcPr>
          <w:p>
            <w:pPr>
              <w:pStyle w:val="26"/>
            </w:pPr>
            <w:r>
              <w:t>≥2次</w:t>
            </w:r>
          </w:p>
        </w:tc>
        <w:tc>
          <w:tcPr>
            <w:tcW w:w="2268" w:type="dxa"/>
            <w:vAlign w:val="center"/>
          </w:tcPr>
          <w:p>
            <w:pPr>
              <w:pStyle w:val="26"/>
            </w:pPr>
            <w:r>
              <w:t>日常管护记录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乔灌木生长年限</w:t>
            </w:r>
          </w:p>
        </w:tc>
        <w:tc>
          <w:tcPr>
            <w:tcW w:w="2835" w:type="dxa"/>
            <w:vAlign w:val="center"/>
          </w:tcPr>
          <w:p>
            <w:pPr>
              <w:pStyle w:val="26"/>
            </w:pPr>
            <w:r>
              <w:t>乔灌木生长年限</w:t>
            </w:r>
          </w:p>
        </w:tc>
        <w:tc>
          <w:tcPr>
            <w:tcW w:w="2551" w:type="dxa"/>
            <w:vAlign w:val="center"/>
          </w:tcPr>
          <w:p>
            <w:pPr>
              <w:pStyle w:val="26"/>
            </w:pPr>
            <w:r>
              <w:t>≥2年</w:t>
            </w:r>
          </w:p>
        </w:tc>
        <w:tc>
          <w:tcPr>
            <w:tcW w:w="2268" w:type="dxa"/>
            <w:vAlign w:val="center"/>
          </w:tcPr>
          <w:p>
            <w:pPr>
              <w:pStyle w:val="26"/>
            </w:pPr>
            <w: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维护费支出成本控制情况</w:t>
            </w:r>
          </w:p>
        </w:tc>
        <w:tc>
          <w:tcPr>
            <w:tcW w:w="2835" w:type="dxa"/>
            <w:vAlign w:val="center"/>
          </w:tcPr>
          <w:p>
            <w:pPr>
              <w:pStyle w:val="26"/>
            </w:pPr>
            <w:r>
              <w:t>按照精细化管理标准安排维护费预算</w:t>
            </w:r>
          </w:p>
        </w:tc>
        <w:tc>
          <w:tcPr>
            <w:tcW w:w="2551" w:type="dxa"/>
            <w:vAlign w:val="center"/>
          </w:tcPr>
          <w:p>
            <w:pPr>
              <w:pStyle w:val="26"/>
            </w:pPr>
            <w:r>
              <w:t>按照《衡水市城市管理精细化标准》</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城市绿化维护养护对社会环境的提升情况</w:t>
            </w:r>
          </w:p>
        </w:tc>
        <w:tc>
          <w:tcPr>
            <w:tcW w:w="2835" w:type="dxa"/>
            <w:vAlign w:val="center"/>
          </w:tcPr>
          <w:p>
            <w:pPr>
              <w:pStyle w:val="26"/>
            </w:pPr>
            <w:r>
              <w:t>园林绿化养护管理实施精细化，提升市区绿化美化效果</w:t>
            </w:r>
          </w:p>
        </w:tc>
        <w:tc>
          <w:tcPr>
            <w:tcW w:w="2551" w:type="dxa"/>
            <w:vAlign w:val="center"/>
          </w:tcPr>
          <w:p>
            <w:pPr>
              <w:pStyle w:val="26"/>
            </w:pPr>
            <w:r>
              <w:t>园林绿化养护管理实施精细化管理，提升市区绿化美化效果</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2022年，衡水市园林中心安排政府采购预算2780.00万元。具体内容见下表。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509衡水市园林中心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2780.00</w:t>
            </w:r>
          </w:p>
        </w:tc>
        <w:tc>
          <w:tcPr>
            <w:tcW w:w="964" w:type="dxa"/>
            <w:vAlign w:val="center"/>
          </w:tcPr>
          <w:p>
            <w:pPr>
              <w:pStyle w:val="15"/>
            </w:pPr>
            <w:r>
              <w:t>1476.40</w:t>
            </w:r>
          </w:p>
        </w:tc>
        <w:tc>
          <w:tcPr>
            <w:tcW w:w="964" w:type="dxa"/>
            <w:vAlign w:val="center"/>
          </w:tcPr>
          <w:p>
            <w:pPr>
              <w:pStyle w:val="15"/>
            </w:pPr>
            <w:r>
              <w:t>1303.60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衡水市园林中心本级小计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2780.00</w:t>
            </w:r>
          </w:p>
        </w:tc>
        <w:tc>
          <w:tcPr>
            <w:tcW w:w="964" w:type="dxa"/>
            <w:vAlign w:val="center"/>
          </w:tcPr>
          <w:p>
            <w:pPr>
              <w:pStyle w:val="15"/>
            </w:pPr>
            <w:r>
              <w:t>1476.40</w:t>
            </w:r>
          </w:p>
        </w:tc>
        <w:tc>
          <w:tcPr>
            <w:tcW w:w="964" w:type="dxa"/>
            <w:vAlign w:val="center"/>
          </w:tcPr>
          <w:p>
            <w:pPr>
              <w:pStyle w:val="15"/>
            </w:pPr>
            <w:r>
              <w:t>1303.60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2022年口袋公园建设项目</w:t>
            </w:r>
          </w:p>
        </w:tc>
        <w:tc>
          <w:tcPr>
            <w:tcW w:w="964" w:type="dxa"/>
            <w:vAlign w:val="center"/>
          </w:tcPr>
          <w:p>
            <w:pPr>
              <w:pStyle w:val="11"/>
            </w:pPr>
            <w:r>
              <w:t>150.00</w:t>
            </w:r>
          </w:p>
        </w:tc>
        <w:tc>
          <w:tcPr>
            <w:tcW w:w="1134" w:type="dxa"/>
            <w:vAlign w:val="center"/>
          </w:tcPr>
          <w:p>
            <w:pPr>
              <w:pStyle w:val="12"/>
            </w:pPr>
            <w:r>
              <w:t>园林绿化工程施工</w:t>
            </w:r>
          </w:p>
        </w:tc>
        <w:tc>
          <w:tcPr>
            <w:tcW w:w="1134" w:type="dxa"/>
            <w:vAlign w:val="center"/>
          </w:tcPr>
          <w:p>
            <w:pPr>
              <w:pStyle w:val="12"/>
            </w:pPr>
            <w:r>
              <w:t>B021502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147.00</w:t>
            </w:r>
          </w:p>
        </w:tc>
        <w:tc>
          <w:tcPr>
            <w:tcW w:w="964" w:type="dxa"/>
            <w:vAlign w:val="center"/>
          </w:tcPr>
          <w:p>
            <w:pPr>
              <w:pStyle w:val="11"/>
            </w:pPr>
            <w:r>
              <w:t>147.00</w:t>
            </w:r>
          </w:p>
        </w:tc>
        <w:tc>
          <w:tcPr>
            <w:tcW w:w="964" w:type="dxa"/>
            <w:vAlign w:val="center"/>
          </w:tcPr>
          <w:p>
            <w:pPr>
              <w:pStyle w:val="11"/>
            </w:pPr>
          </w:p>
        </w:tc>
        <w:tc>
          <w:tcPr>
            <w:tcW w:w="964" w:type="dxa"/>
            <w:vAlign w:val="center"/>
          </w:tcPr>
          <w:p>
            <w:pPr>
              <w:pStyle w:val="11"/>
            </w:pPr>
            <w:r>
              <w:t>147.00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2022年口袋公园建设项目</w:t>
            </w:r>
          </w:p>
        </w:tc>
        <w:tc>
          <w:tcPr>
            <w:tcW w:w="964" w:type="dxa"/>
            <w:vAlign w:val="center"/>
          </w:tcPr>
          <w:p>
            <w:pPr>
              <w:pStyle w:val="11"/>
            </w:pPr>
            <w:r>
              <w:t>150.00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26.70</w:t>
            </w:r>
          </w:p>
        </w:tc>
        <w:tc>
          <w:tcPr>
            <w:tcW w:w="964" w:type="dxa"/>
            <w:vAlign w:val="center"/>
          </w:tcPr>
          <w:p>
            <w:pPr>
              <w:pStyle w:val="11"/>
            </w:pPr>
            <w:r>
              <w:t>26.70</w:t>
            </w:r>
          </w:p>
        </w:tc>
        <w:tc>
          <w:tcPr>
            <w:tcW w:w="964" w:type="dxa"/>
            <w:vAlign w:val="center"/>
          </w:tcPr>
          <w:p>
            <w:pPr>
              <w:pStyle w:val="11"/>
            </w:pPr>
            <w:r>
              <w:t>26.70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37.80</w:t>
            </w:r>
          </w:p>
        </w:tc>
        <w:tc>
          <w:tcPr>
            <w:tcW w:w="964" w:type="dxa"/>
            <w:vAlign w:val="center"/>
          </w:tcPr>
          <w:p>
            <w:pPr>
              <w:pStyle w:val="11"/>
            </w:pPr>
            <w:r>
              <w:t>37.80</w:t>
            </w:r>
          </w:p>
        </w:tc>
        <w:tc>
          <w:tcPr>
            <w:tcW w:w="964" w:type="dxa"/>
            <w:vAlign w:val="center"/>
          </w:tcPr>
          <w:p>
            <w:pPr>
              <w:pStyle w:val="11"/>
            </w:pPr>
            <w:r>
              <w:t>37.80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131.40</w:t>
            </w:r>
          </w:p>
        </w:tc>
        <w:tc>
          <w:tcPr>
            <w:tcW w:w="964" w:type="dxa"/>
            <w:vAlign w:val="center"/>
          </w:tcPr>
          <w:p>
            <w:pPr>
              <w:pStyle w:val="11"/>
            </w:pPr>
            <w:r>
              <w:t>131.40</w:t>
            </w:r>
          </w:p>
        </w:tc>
        <w:tc>
          <w:tcPr>
            <w:tcW w:w="964" w:type="dxa"/>
            <w:vAlign w:val="center"/>
          </w:tcPr>
          <w:p>
            <w:pPr>
              <w:pStyle w:val="11"/>
            </w:pPr>
            <w:r>
              <w:t>131.40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37.00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河北省第六届园博会（沧州）衡水园建设项目</w:t>
            </w:r>
          </w:p>
        </w:tc>
        <w:tc>
          <w:tcPr>
            <w:tcW w:w="964" w:type="dxa"/>
            <w:vAlign w:val="center"/>
          </w:tcPr>
          <w:p>
            <w:pPr>
              <w:pStyle w:val="11"/>
            </w:pPr>
            <w:r>
              <w:t>400.00</w:t>
            </w:r>
          </w:p>
        </w:tc>
        <w:tc>
          <w:tcPr>
            <w:tcW w:w="1134" w:type="dxa"/>
            <w:vAlign w:val="center"/>
          </w:tcPr>
          <w:p>
            <w:pPr>
              <w:pStyle w:val="12"/>
            </w:pPr>
            <w:r>
              <w:t>园林绿化工程施工</w:t>
            </w:r>
          </w:p>
        </w:tc>
        <w:tc>
          <w:tcPr>
            <w:tcW w:w="1134" w:type="dxa"/>
            <w:vAlign w:val="center"/>
          </w:tcPr>
          <w:p>
            <w:pPr>
              <w:pStyle w:val="12"/>
            </w:pPr>
            <w:r>
              <w:t>B021502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394.50</w:t>
            </w:r>
          </w:p>
        </w:tc>
        <w:tc>
          <w:tcPr>
            <w:tcW w:w="964" w:type="dxa"/>
            <w:vAlign w:val="center"/>
          </w:tcPr>
          <w:p>
            <w:pPr>
              <w:pStyle w:val="11"/>
            </w:pPr>
            <w:r>
              <w:t>394.50</w:t>
            </w:r>
          </w:p>
        </w:tc>
        <w:tc>
          <w:tcPr>
            <w:tcW w:w="964" w:type="dxa"/>
            <w:vAlign w:val="center"/>
          </w:tcPr>
          <w:p>
            <w:pPr>
              <w:pStyle w:val="11"/>
            </w:pPr>
            <w:r>
              <w:t>394.50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河北省第六届园博会（沧州）衡水园建设项目</w:t>
            </w:r>
          </w:p>
        </w:tc>
        <w:tc>
          <w:tcPr>
            <w:tcW w:w="964" w:type="dxa"/>
            <w:vAlign w:val="center"/>
          </w:tcPr>
          <w:p>
            <w:pPr>
              <w:pStyle w:val="11"/>
            </w:pPr>
            <w:r>
              <w:t>400.00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节假日、马拉松街道绿化美化</w:t>
            </w:r>
          </w:p>
        </w:tc>
        <w:tc>
          <w:tcPr>
            <w:tcW w:w="964" w:type="dxa"/>
            <w:vAlign w:val="center"/>
          </w:tcPr>
          <w:p>
            <w:pPr>
              <w:pStyle w:val="11"/>
            </w:pPr>
            <w:r>
              <w:t>50.00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市区立体花坛恢复项目</w:t>
            </w:r>
          </w:p>
        </w:tc>
        <w:tc>
          <w:tcPr>
            <w:tcW w:w="964" w:type="dxa"/>
            <w:vAlign w:val="center"/>
          </w:tcPr>
          <w:p>
            <w:pPr>
              <w:pStyle w:val="11"/>
            </w:pPr>
            <w:r>
              <w:t>60.00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95.00</w:t>
            </w:r>
          </w:p>
        </w:tc>
        <w:tc>
          <w:tcPr>
            <w:tcW w:w="964" w:type="dxa"/>
            <w:vAlign w:val="center"/>
          </w:tcPr>
          <w:p>
            <w:pPr>
              <w:pStyle w:val="11"/>
            </w:pPr>
            <w:r>
              <w:t>95.00</w:t>
            </w:r>
          </w:p>
        </w:tc>
        <w:tc>
          <w:tcPr>
            <w:tcW w:w="964" w:type="dxa"/>
            <w:vAlign w:val="center"/>
          </w:tcPr>
          <w:p>
            <w:pPr>
              <w:pStyle w:val="11"/>
            </w:pPr>
            <w:r>
              <w:t>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220.00</w:t>
            </w:r>
          </w:p>
        </w:tc>
        <w:tc>
          <w:tcPr>
            <w:tcW w:w="964" w:type="dxa"/>
            <w:vAlign w:val="center"/>
          </w:tcPr>
          <w:p>
            <w:pPr>
              <w:pStyle w:val="11"/>
            </w:pPr>
            <w:r>
              <w:t>220.00</w:t>
            </w:r>
          </w:p>
        </w:tc>
        <w:tc>
          <w:tcPr>
            <w:tcW w:w="964" w:type="dxa"/>
            <w:vAlign w:val="center"/>
          </w:tcPr>
          <w:p>
            <w:pPr>
              <w:pStyle w:val="11"/>
            </w:pPr>
          </w:p>
        </w:tc>
        <w:tc>
          <w:tcPr>
            <w:tcW w:w="964" w:type="dxa"/>
            <w:vAlign w:val="center"/>
          </w:tcPr>
          <w:p>
            <w:pPr>
              <w:pStyle w:val="11"/>
            </w:pPr>
            <w:r>
              <w:t>220.00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苗木类</w:t>
            </w:r>
          </w:p>
        </w:tc>
        <w:tc>
          <w:tcPr>
            <w:tcW w:w="1134" w:type="dxa"/>
            <w:vAlign w:val="center"/>
          </w:tcPr>
          <w:p>
            <w:pPr>
              <w:pStyle w:val="12"/>
            </w:pPr>
            <w:r>
              <w:t>A12030103</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240.00</w:t>
            </w:r>
          </w:p>
        </w:tc>
        <w:tc>
          <w:tcPr>
            <w:tcW w:w="964" w:type="dxa"/>
            <w:vAlign w:val="center"/>
          </w:tcPr>
          <w:p>
            <w:pPr>
              <w:pStyle w:val="11"/>
            </w:pPr>
            <w:r>
              <w:t>240.00</w:t>
            </w:r>
          </w:p>
        </w:tc>
        <w:tc>
          <w:tcPr>
            <w:tcW w:w="964" w:type="dxa"/>
            <w:vAlign w:val="center"/>
          </w:tcPr>
          <w:p>
            <w:pPr>
              <w:pStyle w:val="11"/>
            </w:pPr>
          </w:p>
        </w:tc>
        <w:tc>
          <w:tcPr>
            <w:tcW w:w="964" w:type="dxa"/>
            <w:vAlign w:val="center"/>
          </w:tcPr>
          <w:p>
            <w:pPr>
              <w:pStyle w:val="11"/>
            </w:pPr>
            <w:r>
              <w:t>240.00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19.50</w:t>
            </w:r>
          </w:p>
        </w:tc>
        <w:tc>
          <w:tcPr>
            <w:tcW w:w="964" w:type="dxa"/>
            <w:vAlign w:val="center"/>
          </w:tcPr>
          <w:p>
            <w:pPr>
              <w:pStyle w:val="11"/>
            </w:pPr>
            <w:r>
              <w:t>19.50</w:t>
            </w:r>
          </w:p>
        </w:tc>
        <w:tc>
          <w:tcPr>
            <w:tcW w:w="964" w:type="dxa"/>
            <w:vAlign w:val="center"/>
          </w:tcPr>
          <w:p>
            <w:pPr>
              <w:pStyle w:val="11"/>
            </w:pPr>
          </w:p>
        </w:tc>
        <w:tc>
          <w:tcPr>
            <w:tcW w:w="964" w:type="dxa"/>
            <w:vAlign w:val="center"/>
          </w:tcPr>
          <w:p>
            <w:pPr>
              <w:pStyle w:val="11"/>
            </w:pPr>
            <w:r>
              <w:t>19.50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27.10</w:t>
            </w:r>
          </w:p>
        </w:tc>
        <w:tc>
          <w:tcPr>
            <w:tcW w:w="964" w:type="dxa"/>
            <w:vAlign w:val="center"/>
          </w:tcPr>
          <w:p>
            <w:pPr>
              <w:pStyle w:val="11"/>
            </w:pPr>
            <w:r>
              <w:t>27.10</w:t>
            </w:r>
          </w:p>
        </w:tc>
        <w:tc>
          <w:tcPr>
            <w:tcW w:w="964" w:type="dxa"/>
            <w:vAlign w:val="center"/>
          </w:tcPr>
          <w:p>
            <w:pPr>
              <w:pStyle w:val="11"/>
            </w:pPr>
          </w:p>
        </w:tc>
        <w:tc>
          <w:tcPr>
            <w:tcW w:w="964" w:type="dxa"/>
            <w:vAlign w:val="center"/>
          </w:tcPr>
          <w:p>
            <w:pPr>
              <w:pStyle w:val="11"/>
            </w:pPr>
            <w:r>
              <w:t>27.10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农业和林业机械设备租赁服务</w:t>
            </w:r>
          </w:p>
        </w:tc>
        <w:tc>
          <w:tcPr>
            <w:tcW w:w="1134" w:type="dxa"/>
            <w:vAlign w:val="center"/>
          </w:tcPr>
          <w:p>
            <w:pPr>
              <w:pStyle w:val="12"/>
            </w:pPr>
            <w:r>
              <w:t>C0404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工程设计服务</w:t>
            </w:r>
          </w:p>
        </w:tc>
        <w:tc>
          <w:tcPr>
            <w:tcW w:w="1134" w:type="dxa"/>
            <w:vAlign w:val="center"/>
          </w:tcPr>
          <w:p>
            <w:pPr>
              <w:pStyle w:val="12"/>
            </w:pPr>
            <w:r>
              <w:t>C1003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124.00</w:t>
            </w:r>
          </w:p>
        </w:tc>
        <w:tc>
          <w:tcPr>
            <w:tcW w:w="964" w:type="dxa"/>
            <w:vAlign w:val="center"/>
          </w:tcPr>
          <w:p>
            <w:pPr>
              <w:pStyle w:val="11"/>
            </w:pPr>
            <w:r>
              <w:t>124.00</w:t>
            </w:r>
          </w:p>
        </w:tc>
        <w:tc>
          <w:tcPr>
            <w:tcW w:w="964" w:type="dxa"/>
            <w:vAlign w:val="center"/>
          </w:tcPr>
          <w:p>
            <w:pPr>
              <w:pStyle w:val="11"/>
            </w:pPr>
          </w:p>
        </w:tc>
        <w:tc>
          <w:tcPr>
            <w:tcW w:w="964" w:type="dxa"/>
            <w:vAlign w:val="center"/>
          </w:tcPr>
          <w:p>
            <w:pPr>
              <w:pStyle w:val="11"/>
            </w:pPr>
            <w:r>
              <w:t>124.00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农业和林业机械设备租赁服务</w:t>
            </w:r>
          </w:p>
        </w:tc>
        <w:tc>
          <w:tcPr>
            <w:tcW w:w="1134" w:type="dxa"/>
            <w:vAlign w:val="center"/>
          </w:tcPr>
          <w:p>
            <w:pPr>
              <w:pStyle w:val="12"/>
            </w:pPr>
            <w:r>
              <w:t>C0404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工程设计服务</w:t>
            </w:r>
          </w:p>
        </w:tc>
        <w:tc>
          <w:tcPr>
            <w:tcW w:w="1134" w:type="dxa"/>
            <w:vAlign w:val="center"/>
          </w:tcPr>
          <w:p>
            <w:pPr>
              <w:pStyle w:val="12"/>
            </w:pPr>
            <w:r>
              <w:t>C1003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19.00</w:t>
            </w:r>
          </w:p>
        </w:tc>
        <w:tc>
          <w:tcPr>
            <w:tcW w:w="964" w:type="dxa"/>
            <w:vAlign w:val="center"/>
          </w:tcPr>
          <w:p>
            <w:pPr>
              <w:pStyle w:val="11"/>
            </w:pPr>
            <w:r>
              <w:t>19.00</w:t>
            </w:r>
          </w:p>
        </w:tc>
        <w:tc>
          <w:tcPr>
            <w:tcW w:w="964" w:type="dxa"/>
            <w:vAlign w:val="center"/>
          </w:tcPr>
          <w:p>
            <w:pPr>
              <w:pStyle w:val="11"/>
            </w:pPr>
            <w:r>
              <w:t>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26.00</w:t>
            </w:r>
          </w:p>
        </w:tc>
        <w:tc>
          <w:tcPr>
            <w:tcW w:w="964" w:type="dxa"/>
            <w:vAlign w:val="center"/>
          </w:tcPr>
          <w:p>
            <w:pPr>
              <w:pStyle w:val="11"/>
            </w:pPr>
            <w:r>
              <w:t>26.00</w:t>
            </w:r>
          </w:p>
        </w:tc>
        <w:tc>
          <w:tcPr>
            <w:tcW w:w="964" w:type="dxa"/>
            <w:vAlign w:val="center"/>
          </w:tcPr>
          <w:p>
            <w:pPr>
              <w:pStyle w:val="11"/>
            </w:pPr>
            <w:r>
              <w:t>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eastAsia" w:eastAsia="方正仿宋_GBK"/>
          <w:lang w:eastAsia="zh-CN"/>
        </w:rPr>
      </w:pPr>
      <w:r>
        <w:rPr>
          <w:rFonts w:eastAsia="方正仿宋_GBK"/>
          <w:color w:val="000000"/>
          <w:sz w:val="28"/>
        </w:rPr>
        <w:t>衡水市园林中心（含所属单位）上年末固定资产金额为</w:t>
      </w:r>
      <w:r>
        <w:rPr>
          <w:rFonts w:hint="eastAsia" w:asciiTheme="minorEastAsia" w:hAnsiTheme="minorEastAsia" w:eastAsiaTheme="minorEastAsia"/>
          <w:color w:val="000000"/>
          <w:sz w:val="28"/>
          <w:lang w:eastAsia="zh-CN"/>
        </w:rPr>
        <w:t>3347.26</w:t>
      </w:r>
      <w:r>
        <w:rPr>
          <w:rFonts w:eastAsia="方正仿宋_GBK"/>
          <w:color w:val="000000"/>
          <w:sz w:val="28"/>
        </w:rPr>
        <w:t>万元（详见下表）。</w:t>
      </w:r>
      <w:r>
        <w:rPr>
          <w:rFonts w:hint="eastAsia" w:eastAsia="方正仿宋_GBK"/>
          <w:color w:val="000000"/>
          <w:sz w:val="28"/>
        </w:rPr>
        <w:t>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pPr>
              <w:rPr>
                <w:rFonts w:ascii="方正小标宋_GBK" w:eastAsia="方正小标宋_GBK"/>
              </w:rPr>
            </w:pPr>
            <w:r>
              <w:rPr>
                <w:rFonts w:ascii="方正小标宋_GBK" w:eastAsia="方正小标宋_GBK"/>
              </w:rPr>
              <w:t>509</w:t>
            </w:r>
            <w:r>
              <w:rPr>
                <w:rFonts w:hint="eastAsia" w:ascii="方正小标宋_GBK" w:eastAsia="方正小标宋_GBK"/>
              </w:rPr>
              <w:t>衡水市园林中心</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pPr>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hint="eastAsia" w:ascii="方正小标宋_GBK" w:eastAsia="方正小标宋_GBK"/>
              </w:rPr>
              <w:t>年</w:t>
            </w:r>
            <w:r>
              <w:rPr>
                <w:rFonts w:hint="eastAsia" w:ascii="方正小标宋_GBK" w:eastAsia="方正小标宋_GBK"/>
                <w:lang w:eastAsia="zh-CN"/>
              </w:rPr>
              <w:t>1</w:t>
            </w:r>
            <w:r>
              <w:rPr>
                <w:rFonts w:ascii="方正小标宋_GBK" w:eastAsia="方正小标宋_GBK"/>
              </w:rPr>
              <w:t>2</w:t>
            </w:r>
            <w:r>
              <w:rPr>
                <w:rFonts w:hint="eastAsia" w:ascii="方正小标宋_GBK" w:eastAsia="方正小标宋_GBK"/>
              </w:rPr>
              <w:t>月</w:t>
            </w:r>
            <w:r>
              <w:rPr>
                <w:rFonts w:hint="eastAsia" w:ascii="方正小标宋_GBK" w:eastAsia="方正小标宋_GBK"/>
                <w:lang w:eastAsia="zh-CN"/>
              </w:rPr>
              <w:t>31</w:t>
            </w:r>
            <w:r>
              <w:rPr>
                <w:rFonts w:hint="eastAsia" w:ascii="方正小标宋_GBK" w:eastAsia="方正小标宋_GBK"/>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ign w:val="center"/>
          </w:tcPr>
          <w:p>
            <w:pPr>
              <w:jc w:val="center"/>
              <w:rPr>
                <w:rFonts w:ascii="方正书宋_GBK" w:eastAsia="方正书宋_GBK"/>
                <w:b/>
              </w:rPr>
            </w:pPr>
            <w:r>
              <w:rPr>
                <w:rFonts w:hint="eastAsia" w:ascii="宋体" w:hAnsi="宋体" w:cs="宋体"/>
                <w:b/>
                <w:bCs/>
                <w:sz w:val="22"/>
              </w:rPr>
              <w:t>项目</w:t>
            </w:r>
          </w:p>
        </w:tc>
        <w:tc>
          <w:tcPr>
            <w:tcW w:w="2835" w:type="dxa"/>
            <w:shd w:val="clear" w:color="auto" w:fill="auto"/>
            <w:noWrap/>
            <w:vAlign w:val="center"/>
          </w:tcPr>
          <w:p>
            <w:pPr>
              <w:jc w:val="center"/>
              <w:rPr>
                <w:rFonts w:ascii="方正书宋_GBK" w:eastAsia="方正书宋_GBK"/>
                <w:b/>
              </w:rPr>
            </w:pPr>
            <w:r>
              <w:rPr>
                <w:rFonts w:hint="eastAsia" w:ascii="宋体" w:hAnsi="宋体" w:cs="宋体"/>
                <w:b/>
                <w:bCs/>
                <w:sz w:val="22"/>
              </w:rPr>
              <w:t>数量</w:t>
            </w:r>
          </w:p>
        </w:tc>
        <w:tc>
          <w:tcPr>
            <w:tcW w:w="2835" w:type="dxa"/>
            <w:shd w:val="clear" w:color="auto" w:fill="auto"/>
            <w:noWrap/>
            <w:vAlign w:val="center"/>
          </w:tcPr>
          <w:p>
            <w:pPr>
              <w:jc w:val="center"/>
              <w:rPr>
                <w:rFonts w:ascii="方正书宋_GBK" w:eastAsia="方正书宋_GBK"/>
                <w:b/>
              </w:rPr>
            </w:pPr>
            <w:r>
              <w:rPr>
                <w:rFonts w:hint="eastAsia" w:ascii="宋体" w:hAnsi="宋体" w:cs="宋体"/>
                <w:b/>
                <w:bCs/>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jc w:val="center"/>
              <w:rPr>
                <w:rFonts w:eastAsia="仿宋"/>
                <w:sz w:val="22"/>
              </w:rPr>
            </w:pPr>
            <w:r>
              <w:rPr>
                <w:rFonts w:eastAsia="仿宋"/>
                <w:sz w:val="22"/>
              </w:rPr>
              <w:t>资产总额</w:t>
            </w:r>
          </w:p>
        </w:tc>
        <w:tc>
          <w:tcPr>
            <w:tcW w:w="2835" w:type="dxa"/>
            <w:shd w:val="clear" w:color="auto" w:fill="auto"/>
            <w:noWrap/>
            <w:vAlign w:val="center"/>
          </w:tcPr>
          <w:p>
            <w:pPr>
              <w:jc w:val="center"/>
              <w:rPr>
                <w:rFonts w:eastAsia="仿宋"/>
                <w:sz w:val="22"/>
              </w:rPr>
            </w:pPr>
            <w:r>
              <w:rPr>
                <w:rFonts w:eastAsia="仿宋"/>
                <w:sz w:val="22"/>
              </w:rPr>
              <w:t>——</w:t>
            </w:r>
          </w:p>
        </w:tc>
        <w:tc>
          <w:tcPr>
            <w:tcW w:w="2835" w:type="dxa"/>
            <w:shd w:val="clear" w:color="auto" w:fill="auto"/>
            <w:noWrap/>
            <w:vAlign w:val="center"/>
          </w:tcPr>
          <w:p>
            <w:pPr>
              <w:jc w:val="center"/>
              <w:rPr>
                <w:rFonts w:eastAsia="仿宋"/>
                <w:color w:val="FF0000"/>
                <w:sz w:val="22"/>
              </w:rPr>
            </w:pPr>
            <w:r>
              <w:rPr>
                <w:rFonts w:hint="eastAsia" w:eastAsia="仿宋"/>
                <w:color w:val="000000"/>
                <w:sz w:val="22"/>
                <w:lang w:eastAsia="zh-CN"/>
              </w:rPr>
              <w:t>3347.26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1、房屋（平方米）</w:t>
            </w:r>
          </w:p>
        </w:tc>
        <w:tc>
          <w:tcPr>
            <w:tcW w:w="2835" w:type="dxa"/>
            <w:shd w:val="clear" w:color="auto" w:fill="auto"/>
            <w:noWrap/>
            <w:vAlign w:val="center"/>
          </w:tcPr>
          <w:p>
            <w:pPr>
              <w:jc w:val="center"/>
              <w:rPr>
                <w:rFonts w:eastAsia="仿宋"/>
                <w:sz w:val="22"/>
              </w:rPr>
            </w:pPr>
            <w:r>
              <w:rPr>
                <w:rFonts w:hint="eastAsia" w:eastAsia="仿宋"/>
                <w:sz w:val="22"/>
                <w:lang w:eastAsia="zh-CN"/>
              </w:rPr>
              <w:t>4609.95</w:t>
            </w:r>
          </w:p>
        </w:tc>
        <w:tc>
          <w:tcPr>
            <w:tcW w:w="2835" w:type="dxa"/>
            <w:shd w:val="clear" w:color="auto" w:fill="auto"/>
            <w:noWrap/>
            <w:vAlign w:val="center"/>
          </w:tcPr>
          <w:p>
            <w:pPr>
              <w:jc w:val="center"/>
              <w:rPr>
                <w:rFonts w:eastAsia="仿宋"/>
                <w:sz w:val="22"/>
              </w:rPr>
            </w:pPr>
            <w:r>
              <w:rPr>
                <w:rFonts w:hint="eastAsia" w:eastAsia="仿宋"/>
                <w:sz w:val="22"/>
                <w:lang w:eastAsia="zh-CN"/>
              </w:rPr>
              <w:t>302.73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其中：办公用房（平方米）</w:t>
            </w:r>
          </w:p>
        </w:tc>
        <w:tc>
          <w:tcPr>
            <w:tcW w:w="2835" w:type="dxa"/>
            <w:shd w:val="clear" w:color="auto" w:fill="auto"/>
            <w:noWrap/>
            <w:vAlign w:val="center"/>
          </w:tcPr>
          <w:p>
            <w:pPr>
              <w:jc w:val="center"/>
              <w:rPr>
                <w:rFonts w:eastAsia="仿宋"/>
                <w:sz w:val="22"/>
              </w:rPr>
            </w:pPr>
            <w:r>
              <w:rPr>
                <w:rFonts w:hint="eastAsia" w:eastAsia="仿宋"/>
                <w:sz w:val="22"/>
                <w:lang w:eastAsia="zh-CN"/>
              </w:rPr>
              <w:t>2116.8</w:t>
            </w:r>
          </w:p>
        </w:tc>
        <w:tc>
          <w:tcPr>
            <w:tcW w:w="2835" w:type="dxa"/>
            <w:shd w:val="clear" w:color="auto" w:fill="auto"/>
            <w:noWrap/>
            <w:vAlign w:val="center"/>
          </w:tcPr>
          <w:p>
            <w:pPr>
              <w:jc w:val="center"/>
              <w:rPr>
                <w:rFonts w:eastAsia="仿宋"/>
                <w:sz w:val="22"/>
              </w:rPr>
            </w:pPr>
            <w:r>
              <w:rPr>
                <w:rFonts w:hint="eastAsia" w:eastAsia="仿宋"/>
                <w:sz w:val="22"/>
                <w:lang w:eastAsia="zh-CN"/>
              </w:rPr>
              <w:t>124.88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2、车辆（台、辆）</w:t>
            </w:r>
          </w:p>
        </w:tc>
        <w:tc>
          <w:tcPr>
            <w:tcW w:w="2835" w:type="dxa"/>
            <w:shd w:val="clear" w:color="auto" w:fill="auto"/>
            <w:noWrap/>
            <w:vAlign w:val="center"/>
          </w:tcPr>
          <w:p>
            <w:pPr>
              <w:jc w:val="center"/>
              <w:rPr>
                <w:rFonts w:eastAsia="仿宋"/>
                <w:sz w:val="22"/>
              </w:rPr>
            </w:pPr>
            <w:r>
              <w:rPr>
                <w:rFonts w:hint="eastAsia" w:eastAsia="仿宋"/>
                <w:sz w:val="22"/>
                <w:lang w:eastAsia="zh-CN"/>
              </w:rPr>
              <w:t>95</w:t>
            </w:r>
          </w:p>
        </w:tc>
        <w:tc>
          <w:tcPr>
            <w:tcW w:w="2835" w:type="dxa"/>
            <w:shd w:val="clear" w:color="auto" w:fill="auto"/>
            <w:noWrap/>
            <w:vAlign w:val="center"/>
          </w:tcPr>
          <w:p>
            <w:pPr>
              <w:jc w:val="center"/>
              <w:rPr>
                <w:rFonts w:eastAsia="仿宋"/>
                <w:sz w:val="22"/>
              </w:rPr>
            </w:pPr>
            <w:r>
              <w:rPr>
                <w:rFonts w:hint="eastAsia" w:eastAsia="仿宋"/>
                <w:sz w:val="22"/>
                <w:lang w:eastAsia="zh-CN"/>
              </w:rPr>
              <w:t>2239.08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3、单价在20万元以上设备</w:t>
            </w:r>
          </w:p>
        </w:tc>
        <w:tc>
          <w:tcPr>
            <w:tcW w:w="2835" w:type="dxa"/>
            <w:shd w:val="clear" w:color="auto" w:fill="auto"/>
            <w:noWrap/>
            <w:vAlign w:val="center"/>
          </w:tcPr>
          <w:p>
            <w:pPr>
              <w:jc w:val="center"/>
              <w:rPr>
                <w:rFonts w:eastAsia="仿宋"/>
                <w:sz w:val="22"/>
              </w:rPr>
            </w:pPr>
            <w:r>
              <w:rPr>
                <w:rFonts w:eastAsia="仿宋"/>
                <w:sz w:val="22"/>
              </w:rPr>
              <w:t>——</w:t>
            </w:r>
          </w:p>
        </w:tc>
        <w:tc>
          <w:tcPr>
            <w:tcW w:w="2835" w:type="dxa"/>
            <w:shd w:val="clear" w:color="auto" w:fill="auto"/>
            <w:noWrap/>
            <w:vAlign w:val="center"/>
          </w:tcPr>
          <w:p>
            <w:pPr>
              <w:jc w:val="center"/>
              <w:rPr>
                <w:rFonts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jc w:val="center"/>
        </w:trPr>
        <w:tc>
          <w:tcPr>
            <w:tcW w:w="7370" w:type="dxa"/>
            <w:vAlign w:val="center"/>
          </w:tcPr>
          <w:p>
            <w:pPr>
              <w:rPr>
                <w:rFonts w:eastAsia="仿宋"/>
                <w:sz w:val="22"/>
              </w:rPr>
            </w:pPr>
            <w:r>
              <w:rPr>
                <w:rFonts w:eastAsia="仿宋"/>
                <w:sz w:val="22"/>
              </w:rPr>
              <w:t>4、其他固定资产</w:t>
            </w:r>
          </w:p>
        </w:tc>
        <w:tc>
          <w:tcPr>
            <w:tcW w:w="2835" w:type="dxa"/>
            <w:vAlign w:val="center"/>
          </w:tcPr>
          <w:p>
            <w:pPr>
              <w:jc w:val="center"/>
              <w:rPr>
                <w:rFonts w:eastAsia="仿宋"/>
                <w:sz w:val="22"/>
              </w:rPr>
            </w:pPr>
            <w:r>
              <w:rPr>
                <w:rFonts w:eastAsia="仿宋"/>
                <w:sz w:val="22"/>
              </w:rPr>
              <w:t>——</w:t>
            </w:r>
          </w:p>
        </w:tc>
        <w:tc>
          <w:tcPr>
            <w:tcW w:w="2835" w:type="dxa"/>
            <w:vAlign w:val="center"/>
          </w:tcPr>
          <w:p>
            <w:pPr>
              <w:jc w:val="center"/>
              <w:rPr>
                <w:rFonts w:eastAsia="仿宋"/>
                <w:sz w:val="22"/>
              </w:rPr>
            </w:pPr>
            <w:r>
              <w:rPr>
                <w:rFonts w:hint="eastAsia" w:eastAsia="仿宋"/>
                <w:sz w:val="22"/>
                <w:lang w:eastAsia="zh-CN"/>
              </w:rPr>
              <w:t>805.45</w:t>
            </w:r>
          </w:p>
        </w:tc>
      </w:tr>
    </w:tbl>
    <w:p>
      <w:pPr>
        <w:ind w:firstLine="640"/>
        <w:rPr>
          <w:rFonts w:eastAsiaTheme="minorEastAsia"/>
          <w:lang w:eastAsia="zh-CN"/>
        </w:rPr>
      </w:pPr>
    </w:p>
    <w:p>
      <w:pPr>
        <w:ind w:firstLine="640"/>
        <w:rPr>
          <w:rFonts w:eastAsiaTheme="minorEastAsia"/>
          <w:lang w:eastAsia="zh-CN"/>
        </w:rPr>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JkMDRkZDQ2YjliNDA4NWVjNjk5OTRmZTYzMjMzYjUifQ=="/>
  </w:docVars>
  <w:rsids>
    <w:rsidRoot w:val="00DC22AE"/>
    <w:rsid w:val="000C7F1C"/>
    <w:rsid w:val="000D349F"/>
    <w:rsid w:val="00100F2C"/>
    <w:rsid w:val="00143747"/>
    <w:rsid w:val="00164817"/>
    <w:rsid w:val="001912E2"/>
    <w:rsid w:val="00295ECD"/>
    <w:rsid w:val="00323A46"/>
    <w:rsid w:val="003431B3"/>
    <w:rsid w:val="00395440"/>
    <w:rsid w:val="0046795C"/>
    <w:rsid w:val="0056576A"/>
    <w:rsid w:val="005B5069"/>
    <w:rsid w:val="00660F20"/>
    <w:rsid w:val="006D67A5"/>
    <w:rsid w:val="007F583E"/>
    <w:rsid w:val="008D7E4D"/>
    <w:rsid w:val="009E0C8A"/>
    <w:rsid w:val="00A5755D"/>
    <w:rsid w:val="00A72C08"/>
    <w:rsid w:val="00B242D5"/>
    <w:rsid w:val="00B264A4"/>
    <w:rsid w:val="00BA2DED"/>
    <w:rsid w:val="00BB787C"/>
    <w:rsid w:val="00C06C5F"/>
    <w:rsid w:val="00C5333E"/>
    <w:rsid w:val="00CC5867"/>
    <w:rsid w:val="00CC61B2"/>
    <w:rsid w:val="00CD128E"/>
    <w:rsid w:val="00D01A20"/>
    <w:rsid w:val="00D06963"/>
    <w:rsid w:val="00D27237"/>
    <w:rsid w:val="00DC22AE"/>
    <w:rsid w:val="00DD2878"/>
    <w:rsid w:val="00E200BB"/>
    <w:rsid w:val="00E21CF8"/>
    <w:rsid w:val="00E83D6C"/>
    <w:rsid w:val="00FA0024"/>
    <w:rsid w:val="0A2A622E"/>
    <w:rsid w:val="0EA578C4"/>
    <w:rsid w:val="1F1F2FB6"/>
    <w:rsid w:val="225E291C"/>
    <w:rsid w:val="30275C4E"/>
    <w:rsid w:val="34B87CAC"/>
    <w:rsid w:val="447A209A"/>
    <w:rsid w:val="570E732F"/>
    <w:rsid w:val="62E663C7"/>
    <w:rsid w:val="65997EE1"/>
    <w:rsid w:val="6A007B84"/>
    <w:rsid w:val="6FD53682"/>
    <w:rsid w:val="794D6453"/>
    <w:rsid w:val="7ECE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0da4341e-7bec-4b09-a5d8-9bc46e3389a9"/>
    <w:qFormat/>
    <w:uiPriority w:val="0"/>
    <w:rPr>
      <w:rFonts w:ascii="Times New Roman" w:hAnsi="Times New Roman" w:eastAsia="Times New Roman" w:cs="Times New Roman"/>
      <w:sz w:val="24"/>
      <w:szCs w:val="24"/>
      <w:lang w:val="en-US" w:eastAsia="uk-UA" w:bidi="ar-SA"/>
    </w:rPr>
  </w:style>
  <w:style w:type="paragraph" w:customStyle="1" w:styleId="25">
    <w:name w:val="单元格样式1_3c654a1d-e5d0-4ed9-a49d-edb91cdb1b14"/>
    <w:basedOn w:val="1"/>
    <w:qFormat/>
    <w:uiPriority w:val="0"/>
    <w:pPr>
      <w:jc w:val="center"/>
    </w:pPr>
    <w:rPr>
      <w:rFonts w:ascii="方正书宋_GBK" w:hAnsi="方正书宋_GBK" w:eastAsia="方正书宋_GBK" w:cs="方正书宋_GBK"/>
      <w:b/>
      <w:sz w:val="21"/>
    </w:rPr>
  </w:style>
  <w:style w:type="paragraph" w:customStyle="1" w:styleId="26">
    <w:name w:val="单元格样式2_05e02a9e-ccb6-476e-9ddb-d3bf0cb437e7"/>
    <w:basedOn w:val="1"/>
    <w:qFormat/>
    <w:uiPriority w:val="0"/>
    <w:rPr>
      <w:rFonts w:ascii="方正书宋_GBK" w:hAnsi="方正书宋_GBK" w:eastAsia="方正书宋_GBK" w:cs="方正书宋_GBK"/>
      <w:sz w:val="21"/>
    </w:rPr>
  </w:style>
  <w:style w:type="paragraph" w:customStyle="1" w:styleId="27">
    <w:name w:val="单元格样式3_18267247-9cf2-406b-9b82-fa3de3d42931"/>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目录 21"/>
    <w:basedOn w:val="1"/>
    <w:qFormat/>
    <w:uiPriority w:val="0"/>
    <w:pPr>
      <w:ind w:left="240"/>
    </w:pPr>
  </w:style>
  <w:style w:type="paragraph" w:customStyle="1" w:styleId="34">
    <w:name w:val="目录 31"/>
    <w:basedOn w:val="1"/>
    <w:qFormat/>
    <w:uiPriority w:val="0"/>
    <w:pPr>
      <w:ind w:left="480"/>
    </w:pPr>
  </w:style>
  <w:style w:type="paragraph" w:customStyle="1" w:styleId="35">
    <w:name w:val="目录 41"/>
    <w:basedOn w:val="1"/>
    <w:qFormat/>
    <w:uiPriority w:val="0"/>
    <w:pPr>
      <w:ind w:left="720"/>
    </w:pPr>
  </w:style>
  <w:style w:type="paragraph" w:customStyle="1" w:styleId="36">
    <w:name w:val="目录 11"/>
    <w:basedOn w:val="1"/>
    <w:qFormat/>
    <w:uiPriority w:val="0"/>
    <w:pPr>
      <w:spacing w:before="120"/>
      <w:ind w:firstLine="560"/>
    </w:pPr>
    <w:rPr>
      <w:rFonts w:eastAsia="方正仿宋_GBK"/>
      <w:color w:val="000000"/>
      <w:sz w:val="28"/>
    </w:rPr>
  </w:style>
  <w:style w:type="character" w:customStyle="1" w:styleId="37">
    <w:name w:val="页眉 字符"/>
    <w:basedOn w:val="6"/>
    <w:link w:val="3"/>
    <w:semiHidden/>
    <w:qFormat/>
    <w:uiPriority w:val="99"/>
    <w:rPr>
      <w:rFonts w:eastAsia="Times New Roman"/>
      <w:sz w:val="18"/>
      <w:szCs w:val="18"/>
      <w:lang w:eastAsia="uk-UA"/>
    </w:rPr>
  </w:style>
  <w:style w:type="character" w:customStyle="1" w:styleId="38">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2022-01-28T16:43:45Z</dcterms:created>
  <dcterms:modified xsi:type="dcterms:W3CDTF">2022-01-28T08:43:45Z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2022-01-28T16:43:20Z</dcterms:created>
  <dcterms:modified xsi:type="dcterms:W3CDTF">2022-01-28T08:43:20Z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2022-01-28T16:43:06Z</dcterms:created>
  <dcterms:modified xsi:type="dcterms:W3CDTF">2022-01-28T08:43:05Z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2022-01-28T16:43:26Z</dcterms:created>
  <dcterms:modified xsi:type="dcterms:W3CDTF">2022-01-28T08:43:26Z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0F6BF0-27F7-466A-9870-497244D05AC2}">
  <ds:schemaRefs/>
</ds:datastoreItem>
</file>

<file path=customXml/itemProps2.xml><?xml version="1.0" encoding="utf-8"?>
<ds:datastoreItem xmlns:ds="http://schemas.openxmlformats.org/officeDocument/2006/customXml" ds:itemID="{D46E9018-B3C7-43E2-9737-06304CF75B57}">
  <ds:schemaRefs/>
</ds:datastoreItem>
</file>

<file path=customXml/itemProps3.xml><?xml version="1.0" encoding="utf-8"?>
<ds:datastoreItem xmlns:ds="http://schemas.openxmlformats.org/officeDocument/2006/customXml" ds:itemID="{D43C7537-B8BB-4921-9698-DD67446C5E08}">
  <ds:schemaRefs/>
</ds:datastoreItem>
</file>

<file path=customXml/itemProps4.xml><?xml version="1.0" encoding="utf-8"?>
<ds:datastoreItem xmlns:ds="http://schemas.openxmlformats.org/officeDocument/2006/customXml" ds:itemID="{E80288BC-B2CE-4C72-AEE6-0F00C540A9FD}">
  <ds:schemaRefs/>
</ds:datastoreItem>
</file>

<file path=customXml/itemProps5.xml><?xml version="1.0" encoding="utf-8"?>
<ds:datastoreItem xmlns:ds="http://schemas.openxmlformats.org/officeDocument/2006/customXml" ds:itemID="{76FEF455-77E0-4FF9-9C49-CD0179FB563C}">
  <ds:schemaRefs/>
</ds:datastoreItem>
</file>

<file path=customXml/itemProps6.xml><?xml version="1.0" encoding="utf-8"?>
<ds:datastoreItem xmlns:ds="http://schemas.openxmlformats.org/officeDocument/2006/customXml" ds:itemID="{3FDFE83A-2087-443F-8E8F-13767820C286}">
  <ds:schemaRefs/>
</ds:datastoreItem>
</file>

<file path=customXml/itemProps7.xml><?xml version="1.0" encoding="utf-8"?>
<ds:datastoreItem xmlns:ds="http://schemas.openxmlformats.org/officeDocument/2006/customXml" ds:itemID="{E83B9434-58F6-4A69-AF0B-A71354DF4D4D}">
  <ds:schemaRefs/>
</ds:datastoreItem>
</file>

<file path=customXml/itemProps8.xml><?xml version="1.0" encoding="utf-8"?>
<ds:datastoreItem xmlns:ds="http://schemas.openxmlformats.org/officeDocument/2006/customXml" ds:itemID="{F177BD28-9A29-4E9A-92D2-09847262F07C}">
  <ds:schemaRefs/>
</ds:datastoreItem>
</file>

<file path=customXml/itemProps9.xml><?xml version="1.0" encoding="utf-8"?>
<ds:datastoreItem xmlns:ds="http://schemas.openxmlformats.org/officeDocument/2006/customXml" ds:itemID="{ACDCCC1D-690D-4223-982A-60FE2800B1DE}">
  <ds:schemaRefs/>
</ds:datastoreItem>
</file>

<file path=docProps/app.xml><?xml version="1.0" encoding="utf-8"?>
<Properties xmlns="http://schemas.openxmlformats.org/officeDocument/2006/extended-properties" xmlns:vt="http://schemas.openxmlformats.org/officeDocument/2006/docPropsVTypes">
  <Template>Normal</Template>
  <Pages>44</Pages>
  <Words>16658</Words>
  <Characters>20267</Characters>
  <Lines>184</Lines>
  <Paragraphs>51</Paragraphs>
  <TotalTime>0</TotalTime>
  <ScaleCrop>false</ScaleCrop>
  <LinksUpToDate>false</LinksUpToDate>
  <CharactersWithSpaces>20430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2022-01-28T08:47:00Z</dcterms:created>
  <dc:creator>caiwu</dc:creator>
  <cp:lastModifiedBy>huawei</cp:lastModifiedBy>
  <cp:lastPrinted>2022-02-07T03:50:00Z</cp:lastPrinted>
  <dcterms:modified xsi:type="dcterms:W3CDTF">2023-10-11T08:56:46Z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D79AEAB4F4234AFB8644A78C3226A7BB</vt:lpwstr>
  </property>
</Properties>
</file>